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9F7CED" w14:paraId="6066ABDF"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227A19FD" w14:textId="77777777" w:rsidR="0026513E" w:rsidRPr="00D965B1" w:rsidRDefault="00795C6B" w:rsidP="002264B8">
            <w:pPr>
              <w:pStyle w:val="Ttulo2"/>
              <w:ind w:right="72"/>
              <w:jc w:val="left"/>
              <w:rPr>
                <w:rFonts w:cs="Arial"/>
                <w:bCs/>
                <w:color w:val="FFFFFF"/>
                <w:sz w:val="22"/>
                <w:szCs w:val="22"/>
              </w:rPr>
            </w:pPr>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4143C844" w14:textId="77777777" w:rsidR="0026513E" w:rsidRPr="0041582B" w:rsidRDefault="00547D03" w:rsidP="00795C6B">
            <w:pPr>
              <w:pStyle w:val="Ttulo2"/>
              <w:ind w:left="72" w:right="72"/>
              <w:jc w:val="left"/>
              <w:rPr>
                <w:rFonts w:cs="Arial"/>
                <w:b w:val="0"/>
                <w:iCs/>
                <w:color w:val="808080"/>
                <w:sz w:val="22"/>
                <w:szCs w:val="22"/>
              </w:rPr>
            </w:pPr>
            <w:r w:rsidRPr="0041582B">
              <w:rPr>
                <w:rFonts w:cs="Arial"/>
                <w:b w:val="0"/>
                <w:iCs/>
                <w:color w:val="808080"/>
                <w:sz w:val="22"/>
                <w:szCs w:val="22"/>
              </w:rPr>
              <w:t>Depa</w:t>
            </w:r>
            <w:r w:rsidR="006473B4" w:rsidRPr="0041582B">
              <w:rPr>
                <w:rFonts w:cs="Arial"/>
                <w:b w:val="0"/>
                <w:iCs/>
                <w:color w:val="808080"/>
                <w:sz w:val="22"/>
                <w:szCs w:val="22"/>
              </w:rPr>
              <w:t>rtamento Administrativo para la Prosperidad Social</w:t>
            </w:r>
          </w:p>
        </w:tc>
      </w:tr>
      <w:tr w:rsidR="005C4522" w:rsidRPr="009F7CED" w14:paraId="7AB46E44" w14:textId="77777777" w:rsidTr="00162963">
        <w:trPr>
          <w:trHeight w:val="371"/>
        </w:trPr>
        <w:tc>
          <w:tcPr>
            <w:tcW w:w="3434" w:type="dxa"/>
            <w:tcBorders>
              <w:top w:val="single" w:sz="4" w:space="0" w:color="auto"/>
              <w:bottom w:val="single" w:sz="4" w:space="0" w:color="auto"/>
              <w:right w:val="single" w:sz="4" w:space="0" w:color="auto"/>
            </w:tcBorders>
            <w:shd w:val="clear" w:color="auto" w:fill="5B8AFF"/>
            <w:vAlign w:val="center"/>
          </w:tcPr>
          <w:p w14:paraId="5DDC7BAD" w14:textId="77777777" w:rsidR="00C47F73" w:rsidRPr="00D965B1" w:rsidRDefault="0026513E" w:rsidP="002264B8">
            <w:pPr>
              <w:pStyle w:val="Ttulo2"/>
              <w:ind w:right="72"/>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(dd/mm/aa)</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E818ABD" w14:textId="3FCB0F84" w:rsidR="00C47F73" w:rsidRPr="00F81C2B" w:rsidRDefault="007334D3" w:rsidP="005F30C3">
            <w:pPr>
              <w:pStyle w:val="Ttulo2"/>
              <w:ind w:left="72" w:right="72"/>
              <w:jc w:val="left"/>
              <w:rPr>
                <w:rFonts w:cs="Arial"/>
                <w:b w:val="0"/>
                <w:iCs/>
                <w:sz w:val="22"/>
                <w:szCs w:val="22"/>
              </w:rPr>
            </w:pPr>
            <w:r w:rsidRPr="0041582B">
              <w:rPr>
                <w:rFonts w:cs="Arial"/>
                <w:b w:val="0"/>
                <w:iCs/>
                <w:color w:val="808080"/>
                <w:sz w:val="22"/>
                <w:szCs w:val="22"/>
              </w:rPr>
              <w:t>24</w:t>
            </w:r>
            <w:r w:rsidR="006473B4" w:rsidRPr="0041582B">
              <w:rPr>
                <w:rFonts w:cs="Arial"/>
                <w:b w:val="0"/>
                <w:iCs/>
                <w:color w:val="808080"/>
                <w:sz w:val="22"/>
                <w:szCs w:val="22"/>
              </w:rPr>
              <w:t>/0</w:t>
            </w:r>
            <w:r w:rsidR="001D6D6E" w:rsidRPr="0041582B">
              <w:rPr>
                <w:rFonts w:cs="Arial"/>
                <w:b w:val="0"/>
                <w:iCs/>
                <w:color w:val="808080"/>
                <w:sz w:val="22"/>
                <w:szCs w:val="22"/>
              </w:rPr>
              <w:t>2</w:t>
            </w:r>
            <w:r w:rsidR="006473B4" w:rsidRPr="0041582B">
              <w:rPr>
                <w:rFonts w:cs="Arial"/>
                <w:b w:val="0"/>
                <w:iCs/>
                <w:color w:val="808080"/>
                <w:sz w:val="22"/>
                <w:szCs w:val="22"/>
              </w:rPr>
              <w:t>/21</w:t>
            </w:r>
          </w:p>
        </w:tc>
      </w:tr>
      <w:tr w:rsidR="005C4522" w:rsidRPr="009F7CED" w14:paraId="3134E3E9"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6F71F69" w14:textId="77777777" w:rsidR="0059316B" w:rsidRPr="00D965B1" w:rsidRDefault="00A55DB6" w:rsidP="002264B8">
            <w:pPr>
              <w:pStyle w:val="Ttulo2"/>
              <w:ind w:right="72"/>
              <w:jc w:val="left"/>
              <w:rPr>
                <w:rFonts w:cs="Arial"/>
                <w:bCs/>
                <w:color w:val="FFFFFF"/>
                <w:sz w:val="22"/>
                <w:szCs w:val="22"/>
              </w:rPr>
            </w:pPr>
            <w:r w:rsidRPr="00D965B1">
              <w:rPr>
                <w:rFonts w:cs="Arial"/>
                <w:bCs/>
                <w:color w:val="FFFFFF"/>
                <w:sz w:val="22"/>
                <w:szCs w:val="22"/>
              </w:rPr>
              <w:t xml:space="preserve">Proyecto de </w:t>
            </w:r>
            <w:r w:rsidR="00587695" w:rsidRPr="00D965B1">
              <w:rPr>
                <w:rFonts w:cs="Arial"/>
                <w:bCs/>
                <w:color w:val="FFFFFF"/>
                <w:sz w:val="22"/>
                <w:szCs w:val="22"/>
              </w:rPr>
              <w:t>D</w:t>
            </w:r>
            <w:r w:rsidRPr="00D965B1">
              <w:rPr>
                <w:rFonts w:cs="Arial"/>
                <w:bCs/>
                <w:color w:val="FFFFFF"/>
                <w:sz w:val="22"/>
                <w:szCs w:val="22"/>
              </w:rPr>
              <w:t>ecreto</w:t>
            </w:r>
            <w:r w:rsidR="00795C6B" w:rsidRPr="00D965B1">
              <w:rPr>
                <w:rFonts w:cs="Arial"/>
                <w:bCs/>
                <w:color w:val="FFFFFF"/>
                <w:sz w:val="22"/>
                <w:szCs w:val="22"/>
              </w:rPr>
              <w:t>/Resolución</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017CF0F7" w14:textId="7A7722FD" w:rsidR="001F238A" w:rsidRPr="00F81C2B" w:rsidRDefault="00D07597" w:rsidP="00CE083D">
            <w:pPr>
              <w:pStyle w:val="Ttulo2"/>
              <w:ind w:left="72" w:right="72"/>
              <w:jc w:val="both"/>
              <w:rPr>
                <w:rFonts w:cs="Arial"/>
                <w:iCs/>
                <w:spacing w:val="-3"/>
                <w:sz w:val="22"/>
                <w:szCs w:val="22"/>
              </w:rPr>
            </w:pPr>
            <w:r w:rsidRPr="0041582B">
              <w:rPr>
                <w:rFonts w:cs="Arial"/>
                <w:b w:val="0"/>
                <w:iCs/>
                <w:color w:val="808080"/>
                <w:sz w:val="22"/>
                <w:szCs w:val="22"/>
              </w:rPr>
              <w:t>«</w:t>
            </w:r>
            <w:r w:rsidR="007D1E7F" w:rsidRPr="0041582B">
              <w:rPr>
                <w:rFonts w:cs="Arial"/>
                <w:b w:val="0"/>
                <w:iCs/>
                <w:color w:val="808080"/>
                <w:sz w:val="22"/>
                <w:szCs w:val="22"/>
              </w:rPr>
              <w:t>Por medio de la cual se efectúa la asignación de cupos y de recursos correspondientes al Programa de Protección Social al Adulto Mayor – Colombia Mayor</w:t>
            </w:r>
            <w:r w:rsidRPr="0041582B">
              <w:rPr>
                <w:rFonts w:cs="Arial"/>
                <w:b w:val="0"/>
                <w:iCs/>
                <w:color w:val="808080"/>
                <w:sz w:val="22"/>
                <w:szCs w:val="22"/>
              </w:rPr>
              <w:t>»</w:t>
            </w:r>
          </w:p>
        </w:tc>
      </w:tr>
      <w:tr w:rsidR="00DF60FD" w:rsidRPr="009F7CED" w14:paraId="07EAE872" w14:textId="77777777" w:rsidTr="0075705D">
        <w:trPr>
          <w:trHeight w:val="47"/>
        </w:trPr>
        <w:tc>
          <w:tcPr>
            <w:tcW w:w="10774" w:type="dxa"/>
            <w:gridSpan w:val="3"/>
            <w:shd w:val="clear" w:color="auto" w:fill="FFFFFF"/>
            <w:vAlign w:val="center"/>
          </w:tcPr>
          <w:p w14:paraId="5DC7FA6E" w14:textId="77777777" w:rsidR="007334D3" w:rsidRPr="00DC0532" w:rsidRDefault="007334D3" w:rsidP="007334D3">
            <w:pPr>
              <w:rPr>
                <w:rFonts w:cs="Arial"/>
                <w:b/>
                <w:color w:val="000000"/>
                <w:sz w:val="22"/>
                <w:szCs w:val="22"/>
                <w:lang w:val="es-CO"/>
              </w:rPr>
            </w:pPr>
          </w:p>
          <w:p w14:paraId="22C03E00" w14:textId="47863CD8" w:rsidR="00A06FC3" w:rsidRPr="00DC0532" w:rsidRDefault="00A06FC3" w:rsidP="00AB73D2">
            <w:pPr>
              <w:pStyle w:val="Prrafodelista"/>
              <w:numPr>
                <w:ilvl w:val="0"/>
                <w:numId w:val="3"/>
              </w:numPr>
              <w:rPr>
                <w:rFonts w:cs="Arial"/>
                <w:b/>
                <w:color w:val="000000"/>
                <w:sz w:val="22"/>
                <w:szCs w:val="22"/>
                <w:lang w:val="es-CO"/>
              </w:rPr>
            </w:pPr>
            <w:r w:rsidRPr="00DC0532">
              <w:rPr>
                <w:rFonts w:cs="Arial"/>
                <w:b/>
                <w:color w:val="000000"/>
                <w:sz w:val="22"/>
                <w:szCs w:val="22"/>
                <w:lang w:val="es-CO"/>
              </w:rPr>
              <w:t>ANTECEDENTES Y RAZONES DE OPORTUNIDAD Y CONVENIENCIA QUE JUSTIFICAN SU EXPEDICIÓN</w:t>
            </w:r>
          </w:p>
          <w:p w14:paraId="5E679710" w14:textId="77777777" w:rsidR="00DC0532" w:rsidRDefault="00A06FC3" w:rsidP="00DC0532">
            <w:pPr>
              <w:jc w:val="both"/>
              <w:rPr>
                <w:rFonts w:cs="Arial"/>
                <w:color w:val="000000"/>
                <w:sz w:val="22"/>
                <w:szCs w:val="22"/>
              </w:rPr>
            </w:pPr>
            <w:r w:rsidRPr="00DC0532" w:rsidDel="00980BFA">
              <w:rPr>
                <w:rFonts w:cs="Arial"/>
                <w:color w:val="000000"/>
                <w:sz w:val="22"/>
                <w:szCs w:val="22"/>
              </w:rPr>
              <w:t xml:space="preserve"> </w:t>
            </w:r>
          </w:p>
          <w:p w14:paraId="13644F2D" w14:textId="03D90AE8" w:rsidR="00BE69CF" w:rsidRDefault="00BE69CF" w:rsidP="00DC0532">
            <w:pPr>
              <w:jc w:val="both"/>
              <w:rPr>
                <w:rFonts w:cs="Arial"/>
                <w:sz w:val="22"/>
                <w:szCs w:val="22"/>
              </w:rPr>
            </w:pPr>
            <w:r w:rsidRPr="00DC0532">
              <w:rPr>
                <w:rFonts w:cs="Arial"/>
                <w:sz w:val="22"/>
                <w:szCs w:val="22"/>
              </w:rPr>
              <w:t xml:space="preserve">El </w:t>
            </w:r>
            <w:r w:rsidR="00D07597">
              <w:rPr>
                <w:rFonts w:cs="Arial"/>
                <w:sz w:val="22"/>
                <w:szCs w:val="22"/>
              </w:rPr>
              <w:t>p</w:t>
            </w:r>
            <w:r w:rsidRPr="00DC0532">
              <w:rPr>
                <w:rFonts w:cs="Arial"/>
                <w:sz w:val="22"/>
                <w:szCs w:val="22"/>
              </w:rPr>
              <w:t xml:space="preserve">rograma de Protección Social al Adulto Mayor - Colombia Mayor, fue creado a partir de la Ley 100 de 1993, artículo 257, </w:t>
            </w:r>
            <w:r w:rsidR="00B3781A">
              <w:rPr>
                <w:rFonts w:cs="Arial"/>
                <w:sz w:val="22"/>
                <w:szCs w:val="22"/>
              </w:rPr>
              <w:t xml:space="preserve">que </w:t>
            </w:r>
            <w:r w:rsidRPr="00DC0532">
              <w:rPr>
                <w:rFonts w:cs="Arial"/>
                <w:sz w:val="22"/>
                <w:szCs w:val="22"/>
              </w:rPr>
              <w:t xml:space="preserve">estableció auxilios para ancianos, con el objetivo de aumentar la protección a los adultos mayores, por medio de la entrega de un subsidio económico, para aquellos que se encuentran desamparados, que no cuentan con una pensión, o viven en la indigencia o en situación de extrema pobreza. </w:t>
            </w:r>
          </w:p>
          <w:p w14:paraId="7852ADE3" w14:textId="77777777" w:rsidR="00DC0532" w:rsidRPr="00DC0532" w:rsidRDefault="00DC0532" w:rsidP="00DC0532">
            <w:pPr>
              <w:jc w:val="both"/>
              <w:rPr>
                <w:rFonts w:cs="Arial"/>
                <w:color w:val="000000"/>
                <w:sz w:val="22"/>
                <w:szCs w:val="22"/>
              </w:rPr>
            </w:pPr>
          </w:p>
          <w:p w14:paraId="7C9FB336" w14:textId="2C47F5E9" w:rsidR="00C94891" w:rsidRPr="00DC0532" w:rsidRDefault="00B3781A" w:rsidP="00C94891">
            <w:pPr>
              <w:autoSpaceDE w:val="0"/>
              <w:autoSpaceDN w:val="0"/>
              <w:adjustRightInd w:val="0"/>
              <w:jc w:val="both"/>
              <w:rPr>
                <w:rFonts w:cs="Arial"/>
                <w:sz w:val="22"/>
                <w:szCs w:val="22"/>
              </w:rPr>
            </w:pPr>
            <w:r>
              <w:rPr>
                <w:rFonts w:cs="Arial"/>
                <w:sz w:val="22"/>
                <w:szCs w:val="22"/>
              </w:rPr>
              <w:t xml:space="preserve">La </w:t>
            </w:r>
            <w:r w:rsidR="00C94891" w:rsidRPr="00DC0532">
              <w:rPr>
                <w:rFonts w:cs="Arial"/>
                <w:sz w:val="22"/>
                <w:szCs w:val="22"/>
              </w:rPr>
              <w:t>Ley 797 de 2003,</w:t>
            </w:r>
            <w:r w:rsidR="00BE69CF" w:rsidRPr="00DC0532">
              <w:rPr>
                <w:rFonts w:cs="Arial"/>
                <w:sz w:val="22"/>
                <w:szCs w:val="22"/>
              </w:rPr>
              <w:t xml:space="preserve"> artículo 2º </w:t>
            </w:r>
            <w:r w:rsidR="00C94891" w:rsidRPr="00DC0532">
              <w:rPr>
                <w:rFonts w:cs="Arial"/>
                <w:sz w:val="22"/>
                <w:szCs w:val="22"/>
              </w:rPr>
              <w:t xml:space="preserve">modificó el literal i) del artículo 13 de la Ley 100 de 1993, creando la </w:t>
            </w:r>
            <w:r w:rsidR="00D07597">
              <w:rPr>
                <w:rFonts w:cs="Arial"/>
                <w:sz w:val="22"/>
                <w:szCs w:val="22"/>
              </w:rPr>
              <w:t>s</w:t>
            </w:r>
            <w:r w:rsidR="00C94891" w:rsidRPr="00DC0532">
              <w:rPr>
                <w:rFonts w:cs="Arial"/>
                <w:sz w:val="22"/>
                <w:szCs w:val="22"/>
              </w:rPr>
              <w:t xml:space="preserve">ubcuenta de </w:t>
            </w:r>
            <w:r w:rsidR="00D07597">
              <w:rPr>
                <w:rFonts w:cs="Arial"/>
                <w:sz w:val="22"/>
                <w:szCs w:val="22"/>
              </w:rPr>
              <w:t>s</w:t>
            </w:r>
            <w:r w:rsidR="00C94891" w:rsidRPr="00DC0532">
              <w:rPr>
                <w:rFonts w:cs="Arial"/>
                <w:sz w:val="22"/>
                <w:szCs w:val="22"/>
              </w:rPr>
              <w:t xml:space="preserve">ubsistencia del Fondo de Solidaridad Pensional, destinada a la protección de las personas en estado de indigencia o de pobreza extrema, mediante el otorgamiento de un subsidio económico que se entrega </w:t>
            </w:r>
            <w:r w:rsidR="00D07597">
              <w:rPr>
                <w:rFonts w:cs="Arial"/>
                <w:sz w:val="22"/>
                <w:szCs w:val="22"/>
              </w:rPr>
              <w:t>por medio</w:t>
            </w:r>
            <w:r w:rsidR="00C94891" w:rsidRPr="00DC0532">
              <w:rPr>
                <w:rFonts w:cs="Arial"/>
                <w:sz w:val="22"/>
                <w:szCs w:val="22"/>
              </w:rPr>
              <w:t xml:space="preserve"> del </w:t>
            </w:r>
            <w:r w:rsidR="00D07597">
              <w:rPr>
                <w:rFonts w:cs="Arial"/>
                <w:sz w:val="22"/>
                <w:szCs w:val="22"/>
              </w:rPr>
              <w:t>p</w:t>
            </w:r>
            <w:r w:rsidR="00C94891" w:rsidRPr="00DC0532">
              <w:rPr>
                <w:rFonts w:cs="Arial"/>
                <w:sz w:val="22"/>
                <w:szCs w:val="22"/>
              </w:rPr>
              <w:t>rograma de Protección Social al Adulto Mayor, hoy Colombia Mayor.</w:t>
            </w:r>
          </w:p>
          <w:p w14:paraId="278724AD" w14:textId="0696CEA1" w:rsidR="00BE69CF" w:rsidRPr="00DC0532" w:rsidRDefault="00BE69CF" w:rsidP="00C94891">
            <w:pPr>
              <w:autoSpaceDE w:val="0"/>
              <w:autoSpaceDN w:val="0"/>
              <w:adjustRightInd w:val="0"/>
              <w:jc w:val="both"/>
              <w:rPr>
                <w:rFonts w:cs="Arial"/>
                <w:sz w:val="22"/>
                <w:szCs w:val="22"/>
              </w:rPr>
            </w:pPr>
          </w:p>
          <w:p w14:paraId="30D6B7C3" w14:textId="4570417E" w:rsidR="002F3DA1" w:rsidRPr="00DC0532" w:rsidRDefault="00BE69CF" w:rsidP="002F3DA1">
            <w:pPr>
              <w:autoSpaceDE w:val="0"/>
              <w:autoSpaceDN w:val="0"/>
              <w:adjustRightInd w:val="0"/>
              <w:jc w:val="both"/>
              <w:rPr>
                <w:rFonts w:cs="Arial"/>
                <w:sz w:val="22"/>
                <w:szCs w:val="22"/>
              </w:rPr>
            </w:pPr>
            <w:r w:rsidRPr="00DC0532">
              <w:rPr>
                <w:rFonts w:cs="Arial"/>
                <w:sz w:val="22"/>
                <w:szCs w:val="22"/>
              </w:rPr>
              <w:t xml:space="preserve">El </w:t>
            </w:r>
            <w:r w:rsidR="00D07597">
              <w:rPr>
                <w:rFonts w:cs="Arial"/>
                <w:sz w:val="22"/>
                <w:szCs w:val="22"/>
              </w:rPr>
              <w:t>p</w:t>
            </w:r>
            <w:r w:rsidRPr="00DC0532">
              <w:rPr>
                <w:rFonts w:cs="Arial"/>
                <w:sz w:val="22"/>
                <w:szCs w:val="22"/>
              </w:rPr>
              <w:t xml:space="preserve">rograma de Protección Social al Adulto Mayor, hoy Colombia Mayor, estuvo a cargo del Ministerio de Trabajo, pero en virtud del </w:t>
            </w:r>
            <w:r w:rsidR="002F3DA1" w:rsidRPr="00DC0532">
              <w:rPr>
                <w:rFonts w:cs="Arial"/>
                <w:sz w:val="22"/>
                <w:szCs w:val="22"/>
              </w:rPr>
              <w:t xml:space="preserve">Decreto Legislativo 812 del 04 de junio de 2020, en el artículo 5, parágrafo 2º, </w:t>
            </w:r>
            <w:r w:rsidRPr="00DC0532">
              <w:rPr>
                <w:rFonts w:cs="Arial"/>
                <w:sz w:val="22"/>
                <w:szCs w:val="22"/>
              </w:rPr>
              <w:t xml:space="preserve">se </w:t>
            </w:r>
            <w:r w:rsidR="002F3DA1" w:rsidRPr="00DC0532">
              <w:rPr>
                <w:rFonts w:cs="Arial"/>
                <w:sz w:val="22"/>
                <w:szCs w:val="22"/>
              </w:rPr>
              <w:t xml:space="preserve">dispuso que </w:t>
            </w:r>
            <w:r w:rsidR="00D07597">
              <w:rPr>
                <w:rFonts w:cs="Arial"/>
                <w:sz w:val="22"/>
                <w:szCs w:val="22"/>
              </w:rPr>
              <w:t>e</w:t>
            </w:r>
            <w:r w:rsidRPr="00DC0532">
              <w:rPr>
                <w:rFonts w:cs="Arial"/>
                <w:sz w:val="22"/>
                <w:szCs w:val="22"/>
              </w:rPr>
              <w:t xml:space="preserve">l Departamento Administrativo para la Prosperidad Social será el </w:t>
            </w:r>
            <w:r w:rsidR="002F3DA1" w:rsidRPr="00DC0532">
              <w:rPr>
                <w:rFonts w:cs="Arial"/>
                <w:sz w:val="22"/>
                <w:szCs w:val="22"/>
              </w:rPr>
              <w:t xml:space="preserve">administrador y operador del </w:t>
            </w:r>
            <w:r w:rsidR="00D07597">
              <w:rPr>
                <w:rFonts w:cs="Arial"/>
                <w:sz w:val="22"/>
                <w:szCs w:val="22"/>
              </w:rPr>
              <w:t>p</w:t>
            </w:r>
            <w:r w:rsidR="002F3DA1" w:rsidRPr="00DC0532">
              <w:rPr>
                <w:rFonts w:cs="Arial"/>
                <w:sz w:val="22"/>
                <w:szCs w:val="22"/>
              </w:rPr>
              <w:t xml:space="preserve">rograma a partir de la entrada en </w:t>
            </w:r>
            <w:r w:rsidR="00D07597" w:rsidRPr="00DC0532">
              <w:rPr>
                <w:rFonts w:cs="Arial"/>
                <w:sz w:val="22"/>
                <w:szCs w:val="22"/>
              </w:rPr>
              <w:t>vig</w:t>
            </w:r>
            <w:r w:rsidR="00D07597">
              <w:rPr>
                <w:rFonts w:cs="Arial"/>
                <w:sz w:val="22"/>
                <w:szCs w:val="22"/>
              </w:rPr>
              <w:t>or</w:t>
            </w:r>
            <w:r w:rsidR="00D07597" w:rsidRPr="00DC0532">
              <w:rPr>
                <w:rFonts w:cs="Arial"/>
                <w:sz w:val="22"/>
                <w:szCs w:val="22"/>
              </w:rPr>
              <w:t xml:space="preserve"> </w:t>
            </w:r>
            <w:r w:rsidR="002F3DA1" w:rsidRPr="00DC0532">
              <w:rPr>
                <w:rFonts w:cs="Arial"/>
                <w:sz w:val="22"/>
                <w:szCs w:val="22"/>
              </w:rPr>
              <w:t>de dicha norma.</w:t>
            </w:r>
          </w:p>
          <w:p w14:paraId="33B916AB" w14:textId="77777777" w:rsidR="002F3DA1" w:rsidRPr="00DC0532" w:rsidRDefault="002F3DA1" w:rsidP="00BE69CF">
            <w:pPr>
              <w:autoSpaceDE w:val="0"/>
              <w:autoSpaceDN w:val="0"/>
              <w:adjustRightInd w:val="0"/>
              <w:jc w:val="both"/>
              <w:rPr>
                <w:rFonts w:cs="Arial"/>
                <w:sz w:val="22"/>
                <w:szCs w:val="22"/>
              </w:rPr>
            </w:pPr>
          </w:p>
          <w:p w14:paraId="5EA77809" w14:textId="7CFADD9C" w:rsidR="002F3DA1" w:rsidRPr="00DC0532" w:rsidRDefault="002F3DA1" w:rsidP="002F3DA1">
            <w:pPr>
              <w:autoSpaceDE w:val="0"/>
              <w:autoSpaceDN w:val="0"/>
              <w:adjustRightInd w:val="0"/>
              <w:jc w:val="both"/>
              <w:rPr>
                <w:rFonts w:cs="Arial"/>
                <w:sz w:val="22"/>
                <w:szCs w:val="22"/>
              </w:rPr>
            </w:pPr>
            <w:r w:rsidRPr="00DC0532">
              <w:rPr>
                <w:rFonts w:cs="Arial"/>
                <w:sz w:val="22"/>
                <w:szCs w:val="22"/>
              </w:rPr>
              <w:t xml:space="preserve">El subsidio económico directo es el que se otorga en dinero, el cual se gira directamente a los beneficiarios y el indirecto el que se otorga en servicios sociales básicos y se entrega </w:t>
            </w:r>
            <w:r w:rsidR="00D07597">
              <w:rPr>
                <w:rFonts w:cs="Arial"/>
                <w:sz w:val="22"/>
                <w:szCs w:val="22"/>
              </w:rPr>
              <w:t>por medio</w:t>
            </w:r>
            <w:r w:rsidRPr="00DC0532">
              <w:rPr>
                <w:rFonts w:cs="Arial"/>
                <w:sz w:val="22"/>
                <w:szCs w:val="22"/>
              </w:rPr>
              <w:t xml:space="preserve"> de los Centros de Bienestar del Adulto Mayor y Centros Diurnos. Respecto al subsidio económico directo, se señala que los indígenas residentes en resguardos podrán ser beneficiarios </w:t>
            </w:r>
            <w:r w:rsidR="00F9161A" w:rsidRPr="00DC0532">
              <w:rPr>
                <w:rFonts w:cs="Arial"/>
                <w:sz w:val="22"/>
                <w:szCs w:val="22"/>
              </w:rPr>
              <w:t>de este</w:t>
            </w:r>
            <w:r w:rsidRPr="00DC0532">
              <w:rPr>
                <w:rFonts w:cs="Arial"/>
                <w:sz w:val="22"/>
                <w:szCs w:val="22"/>
              </w:rPr>
              <w:t xml:space="preserve">, siempre y cuando se elija esta modalidad para todos los beneficiarios incluidos en el proyecto. </w:t>
            </w:r>
          </w:p>
          <w:p w14:paraId="51885F6C" w14:textId="77777777" w:rsidR="002F3DA1" w:rsidRPr="00DC0532" w:rsidRDefault="002F3DA1" w:rsidP="002F3DA1">
            <w:pPr>
              <w:autoSpaceDE w:val="0"/>
              <w:autoSpaceDN w:val="0"/>
              <w:adjustRightInd w:val="0"/>
              <w:jc w:val="both"/>
              <w:rPr>
                <w:rFonts w:cs="Arial"/>
                <w:sz w:val="22"/>
                <w:szCs w:val="22"/>
              </w:rPr>
            </w:pPr>
          </w:p>
          <w:p w14:paraId="7896EA1F" w14:textId="5905CA0B" w:rsidR="00E3742E" w:rsidRPr="00DC0532" w:rsidRDefault="002D049C" w:rsidP="00E3742E">
            <w:pPr>
              <w:autoSpaceDE w:val="0"/>
              <w:autoSpaceDN w:val="0"/>
              <w:adjustRightInd w:val="0"/>
              <w:jc w:val="both"/>
              <w:rPr>
                <w:rFonts w:cs="Arial"/>
                <w:sz w:val="22"/>
                <w:szCs w:val="22"/>
              </w:rPr>
            </w:pPr>
            <w:r w:rsidRPr="00DC0532">
              <w:rPr>
                <w:rFonts w:cs="Arial"/>
                <w:sz w:val="22"/>
                <w:szCs w:val="22"/>
              </w:rPr>
              <w:t>En</w:t>
            </w:r>
            <w:r w:rsidR="00E3742E" w:rsidRPr="00DC0532">
              <w:rPr>
                <w:rFonts w:cs="Arial"/>
                <w:sz w:val="22"/>
                <w:szCs w:val="22"/>
              </w:rPr>
              <w:t xml:space="preserve"> </w:t>
            </w:r>
            <w:r w:rsidR="00B3781A">
              <w:rPr>
                <w:rFonts w:cs="Arial"/>
                <w:sz w:val="22"/>
                <w:szCs w:val="22"/>
              </w:rPr>
              <w:t xml:space="preserve">el </w:t>
            </w:r>
            <w:r w:rsidR="00E3742E" w:rsidRPr="00DC0532">
              <w:rPr>
                <w:rFonts w:cs="Arial"/>
                <w:sz w:val="22"/>
                <w:szCs w:val="22"/>
              </w:rPr>
              <w:t>artículo 2.2.14.1.32., del Decreto 1833 de 2016 modificado por el artículo 7 del Decreto 1690 de 2020, se establece que los beneficios de la Subcuenta de Subsistencia serán otorgados en las modalidades de subsidio económico directo y subsidio económico indirecto.</w:t>
            </w:r>
          </w:p>
          <w:p w14:paraId="713F815E" w14:textId="2C52D59B" w:rsidR="002F3DA1" w:rsidRPr="00DC0532" w:rsidRDefault="002F3DA1" w:rsidP="00E3742E">
            <w:pPr>
              <w:autoSpaceDE w:val="0"/>
              <w:autoSpaceDN w:val="0"/>
              <w:adjustRightInd w:val="0"/>
              <w:jc w:val="both"/>
              <w:rPr>
                <w:rFonts w:cs="Arial"/>
                <w:sz w:val="22"/>
                <w:szCs w:val="22"/>
              </w:rPr>
            </w:pPr>
          </w:p>
          <w:p w14:paraId="051DC308" w14:textId="0EC9D981" w:rsidR="00E3742E" w:rsidRPr="00DC0532" w:rsidRDefault="002F3DA1" w:rsidP="00A82687">
            <w:pPr>
              <w:autoSpaceDE w:val="0"/>
              <w:autoSpaceDN w:val="0"/>
              <w:adjustRightInd w:val="0"/>
              <w:jc w:val="both"/>
              <w:rPr>
                <w:rFonts w:cs="Arial"/>
                <w:sz w:val="22"/>
                <w:szCs w:val="22"/>
              </w:rPr>
            </w:pPr>
            <w:r w:rsidRPr="00DC0532">
              <w:rPr>
                <w:rFonts w:cs="Arial"/>
                <w:sz w:val="22"/>
                <w:szCs w:val="22"/>
              </w:rPr>
              <w:t>Con el fin que el subsidio directo e indirecto</w:t>
            </w:r>
            <w:r w:rsidR="00A82687" w:rsidRPr="00DC0532">
              <w:rPr>
                <w:rFonts w:cs="Arial"/>
                <w:sz w:val="22"/>
                <w:szCs w:val="22"/>
              </w:rPr>
              <w:t xml:space="preserve">, este último referido a los </w:t>
            </w:r>
            <w:r w:rsidRPr="00DC0532">
              <w:rPr>
                <w:rFonts w:cs="Arial"/>
                <w:sz w:val="22"/>
                <w:szCs w:val="22"/>
              </w:rPr>
              <w:t>Centros de Bienestar del Adulto Mayor y Centros Diurnos</w:t>
            </w:r>
            <w:r w:rsidR="00A82687" w:rsidRPr="00DC0532">
              <w:rPr>
                <w:rFonts w:cs="Arial"/>
                <w:sz w:val="22"/>
                <w:szCs w:val="22"/>
              </w:rPr>
              <w:t xml:space="preserve">, </w:t>
            </w:r>
            <w:r w:rsidRPr="00DC0532">
              <w:rPr>
                <w:rFonts w:cs="Arial"/>
                <w:sz w:val="22"/>
                <w:szCs w:val="22"/>
              </w:rPr>
              <w:t xml:space="preserve">llegue a </w:t>
            </w:r>
            <w:r w:rsidR="00A82687" w:rsidRPr="00DC0532">
              <w:rPr>
                <w:rFonts w:cs="Arial"/>
                <w:sz w:val="22"/>
                <w:szCs w:val="22"/>
              </w:rPr>
              <w:t>la población objetivo, en su momento</w:t>
            </w:r>
            <w:r w:rsidR="00B3781A">
              <w:rPr>
                <w:rFonts w:cs="Arial"/>
                <w:sz w:val="22"/>
                <w:szCs w:val="22"/>
              </w:rPr>
              <w:t>, el</w:t>
            </w:r>
            <w:r w:rsidR="00A82687" w:rsidRPr="00DC0532">
              <w:rPr>
                <w:rFonts w:cs="Arial"/>
                <w:sz w:val="22"/>
                <w:szCs w:val="22"/>
              </w:rPr>
              <w:t xml:space="preserve"> Ministerio de</w:t>
            </w:r>
            <w:r w:rsidR="00B3781A">
              <w:rPr>
                <w:rFonts w:cs="Arial"/>
                <w:sz w:val="22"/>
                <w:szCs w:val="22"/>
              </w:rPr>
              <w:t>l</w:t>
            </w:r>
            <w:r w:rsidR="00A82687" w:rsidRPr="00DC0532">
              <w:rPr>
                <w:rFonts w:cs="Arial"/>
                <w:sz w:val="22"/>
                <w:szCs w:val="22"/>
              </w:rPr>
              <w:t xml:space="preserve"> Trabajo profirió actos administrativos con el fin de asignar, redistribuir, modificar y ajustar los cupos respe</w:t>
            </w:r>
            <w:r w:rsidR="00B3781A">
              <w:rPr>
                <w:rFonts w:cs="Arial"/>
                <w:sz w:val="22"/>
                <w:szCs w:val="22"/>
              </w:rPr>
              <w:t>c</w:t>
            </w:r>
            <w:r w:rsidR="00A82687" w:rsidRPr="00DC0532">
              <w:rPr>
                <w:rFonts w:cs="Arial"/>
                <w:sz w:val="22"/>
                <w:szCs w:val="22"/>
              </w:rPr>
              <w:t xml:space="preserve">tivos. </w:t>
            </w:r>
          </w:p>
          <w:p w14:paraId="370F24F6" w14:textId="3674E4DD" w:rsidR="00A82687" w:rsidRPr="00DC0532" w:rsidRDefault="00A82687" w:rsidP="008D0D6D">
            <w:pPr>
              <w:pStyle w:val="NormalWeb"/>
              <w:jc w:val="both"/>
              <w:rPr>
                <w:rFonts w:ascii="Arial" w:eastAsia="Times New Roman" w:hAnsi="Arial" w:cs="Arial"/>
                <w:sz w:val="22"/>
                <w:szCs w:val="22"/>
              </w:rPr>
            </w:pPr>
            <w:r w:rsidRPr="00DC0532">
              <w:rPr>
                <w:rFonts w:ascii="Arial" w:eastAsia="Times New Roman" w:hAnsi="Arial" w:cs="Arial"/>
                <w:sz w:val="22"/>
                <w:szCs w:val="22"/>
              </w:rPr>
              <w:t xml:space="preserve">Con base en lo anterior, Prosperidad Social emitió a partir del mes de junio de 2020 autorizaciones administrativas que respaldaban la operación del </w:t>
            </w:r>
            <w:r w:rsidR="00D07597">
              <w:rPr>
                <w:rFonts w:ascii="Arial" w:eastAsia="Times New Roman" w:hAnsi="Arial" w:cs="Arial"/>
                <w:sz w:val="22"/>
                <w:szCs w:val="22"/>
              </w:rPr>
              <w:t>p</w:t>
            </w:r>
            <w:r w:rsidRPr="00DC0532">
              <w:rPr>
                <w:rFonts w:ascii="Arial" w:eastAsia="Times New Roman" w:hAnsi="Arial" w:cs="Arial"/>
                <w:sz w:val="22"/>
                <w:szCs w:val="22"/>
              </w:rPr>
              <w:t xml:space="preserve">rograma </w:t>
            </w:r>
            <w:r w:rsidR="00D07597">
              <w:rPr>
                <w:rFonts w:ascii="Arial" w:eastAsia="Times New Roman" w:hAnsi="Arial" w:cs="Arial"/>
                <w:sz w:val="22"/>
                <w:szCs w:val="22"/>
              </w:rPr>
              <w:t>por medio</w:t>
            </w:r>
            <w:r w:rsidRPr="00DC0532">
              <w:rPr>
                <w:rFonts w:ascii="Arial" w:eastAsia="Times New Roman" w:hAnsi="Arial" w:cs="Arial"/>
                <w:sz w:val="22"/>
                <w:szCs w:val="22"/>
              </w:rPr>
              <w:t xml:space="preserve"> del Ministerio del Trabajo en el marco su competencia legal y contractual, para dar instrucción a la fiduciaria para el pago y dispersión de los subsidios en favor de los beneficiarios de Colombia Mayor. Producto de ello se expidió el acto administrativo conjunto</w:t>
            </w:r>
            <w:r w:rsidR="008D0D6D" w:rsidRPr="00DC0532">
              <w:rPr>
                <w:rFonts w:ascii="Arial" w:eastAsia="Times New Roman" w:hAnsi="Arial" w:cs="Arial"/>
                <w:sz w:val="22"/>
                <w:szCs w:val="22"/>
              </w:rPr>
              <w:t xml:space="preserve"> referido a la Resolución N.</w:t>
            </w:r>
            <w:r w:rsidR="00D07597">
              <w:rPr>
                <w:rFonts w:ascii="Arial" w:eastAsia="Times New Roman" w:hAnsi="Arial" w:cs="Arial"/>
                <w:sz w:val="22"/>
                <w:szCs w:val="22"/>
              </w:rPr>
              <w:t>º</w:t>
            </w:r>
            <w:r w:rsidR="008D0D6D" w:rsidRPr="00DC0532">
              <w:rPr>
                <w:rFonts w:ascii="Arial" w:eastAsia="Times New Roman" w:hAnsi="Arial" w:cs="Arial"/>
                <w:sz w:val="22"/>
                <w:szCs w:val="22"/>
              </w:rPr>
              <w:t xml:space="preserve"> 2759 de 2020 </w:t>
            </w:r>
            <w:r w:rsidR="00D07597">
              <w:rPr>
                <w:rFonts w:ascii="Arial" w:eastAsia="Times New Roman" w:hAnsi="Arial" w:cs="Arial"/>
                <w:sz w:val="22"/>
                <w:szCs w:val="22"/>
              </w:rPr>
              <w:t>«</w:t>
            </w:r>
            <w:r w:rsidR="008D0D6D" w:rsidRPr="00DC0532">
              <w:rPr>
                <w:rFonts w:ascii="Arial" w:eastAsia="Times New Roman" w:hAnsi="Arial" w:cs="Arial"/>
                <w:sz w:val="22"/>
                <w:szCs w:val="22"/>
              </w:rPr>
              <w:t>Por medio de la cual se efectúa una asignación de recursos para la ampliación de cobertura del programa de protección al adulto mayor, hoy Colombia Mayor de la subcuenta de subsistencia del fondo de solidaridad pensional para la vigencia 2020</w:t>
            </w:r>
            <w:r w:rsidR="00D07597">
              <w:rPr>
                <w:rFonts w:ascii="Arial" w:eastAsia="Times New Roman" w:hAnsi="Arial" w:cs="Arial"/>
                <w:sz w:val="22"/>
                <w:szCs w:val="22"/>
              </w:rPr>
              <w:t>»</w:t>
            </w:r>
            <w:r w:rsidR="00023868" w:rsidRPr="00DC0532">
              <w:rPr>
                <w:rFonts w:ascii="Arial" w:eastAsia="Times New Roman" w:hAnsi="Arial" w:cs="Arial"/>
                <w:sz w:val="22"/>
                <w:szCs w:val="22"/>
              </w:rPr>
              <w:t>.</w:t>
            </w:r>
            <w:r w:rsidR="008D0D6D" w:rsidRPr="00DC0532">
              <w:rPr>
                <w:rFonts w:ascii="Arial" w:eastAsia="Times New Roman" w:hAnsi="Arial" w:cs="Arial"/>
                <w:sz w:val="22"/>
                <w:szCs w:val="22"/>
              </w:rPr>
              <w:t xml:space="preserve"> </w:t>
            </w:r>
          </w:p>
          <w:p w14:paraId="531531FE" w14:textId="0F85A451" w:rsidR="008D0D6D" w:rsidRDefault="008D0D6D" w:rsidP="008D0D6D">
            <w:pPr>
              <w:pStyle w:val="NormalWeb"/>
              <w:jc w:val="both"/>
              <w:rPr>
                <w:rFonts w:ascii="Arial" w:hAnsi="Arial" w:cs="Arial"/>
                <w:sz w:val="22"/>
                <w:szCs w:val="22"/>
              </w:rPr>
            </w:pPr>
            <w:r w:rsidRPr="00DC0532">
              <w:rPr>
                <w:rFonts w:ascii="Arial" w:eastAsia="Times New Roman" w:hAnsi="Arial" w:cs="Arial"/>
                <w:sz w:val="22"/>
                <w:szCs w:val="22"/>
              </w:rPr>
              <w:t>La dispersión de los pagos se realiza en virtud del contrato de FIDUCIA N.</w:t>
            </w:r>
            <w:r w:rsidR="00D07597">
              <w:rPr>
                <w:rFonts w:ascii="Arial" w:eastAsia="Times New Roman" w:hAnsi="Arial" w:cs="Arial"/>
                <w:sz w:val="22"/>
                <w:szCs w:val="22"/>
              </w:rPr>
              <w:t>º</w:t>
            </w:r>
            <w:r w:rsidRPr="00DC0532">
              <w:rPr>
                <w:rFonts w:ascii="Arial" w:eastAsia="Times New Roman" w:hAnsi="Arial" w:cs="Arial"/>
                <w:sz w:val="22"/>
                <w:szCs w:val="22"/>
              </w:rPr>
              <w:t xml:space="preserve"> 604 de 2018, suscrito con FIDUAGRARIA y el Ministerio del </w:t>
            </w:r>
            <w:r w:rsidR="00D07597">
              <w:rPr>
                <w:rFonts w:ascii="Arial" w:eastAsia="Times New Roman" w:hAnsi="Arial" w:cs="Arial"/>
                <w:sz w:val="22"/>
                <w:szCs w:val="22"/>
              </w:rPr>
              <w:t>T</w:t>
            </w:r>
            <w:r w:rsidRPr="00DC0532">
              <w:rPr>
                <w:rFonts w:ascii="Arial" w:eastAsia="Times New Roman" w:hAnsi="Arial" w:cs="Arial"/>
                <w:sz w:val="22"/>
                <w:szCs w:val="22"/>
              </w:rPr>
              <w:t xml:space="preserve">rabajo y dada la asignación del </w:t>
            </w:r>
            <w:r w:rsidR="00D07597">
              <w:rPr>
                <w:rFonts w:ascii="Arial" w:eastAsia="Times New Roman" w:hAnsi="Arial" w:cs="Arial"/>
                <w:sz w:val="22"/>
                <w:szCs w:val="22"/>
              </w:rPr>
              <w:t>p</w:t>
            </w:r>
            <w:r w:rsidRPr="00DC0532">
              <w:rPr>
                <w:rFonts w:ascii="Arial" w:eastAsia="Times New Roman" w:hAnsi="Arial" w:cs="Arial"/>
                <w:sz w:val="22"/>
                <w:szCs w:val="22"/>
              </w:rPr>
              <w:t xml:space="preserve">rograma a Prosperidad Social, se suscribió el </w:t>
            </w:r>
            <w:r w:rsidR="00D07597">
              <w:rPr>
                <w:rFonts w:ascii="Arial" w:eastAsia="Times New Roman" w:hAnsi="Arial" w:cs="Arial"/>
                <w:sz w:val="22"/>
                <w:szCs w:val="22"/>
              </w:rPr>
              <w:t>o</w:t>
            </w:r>
            <w:r w:rsidRPr="00DC0532">
              <w:rPr>
                <w:rFonts w:ascii="Arial" w:eastAsia="Times New Roman" w:hAnsi="Arial" w:cs="Arial"/>
                <w:sz w:val="22"/>
                <w:szCs w:val="22"/>
              </w:rPr>
              <w:t>trosí N.</w:t>
            </w:r>
            <w:r w:rsidR="00D07597">
              <w:rPr>
                <w:rFonts w:ascii="Arial" w:eastAsia="Times New Roman" w:hAnsi="Arial" w:cs="Arial"/>
                <w:sz w:val="22"/>
                <w:szCs w:val="22"/>
              </w:rPr>
              <w:t>º</w:t>
            </w:r>
            <w:r w:rsidRPr="00DC0532">
              <w:rPr>
                <w:rFonts w:ascii="Arial" w:eastAsia="Times New Roman" w:hAnsi="Arial" w:cs="Arial"/>
                <w:sz w:val="22"/>
                <w:szCs w:val="22"/>
              </w:rPr>
              <w:t xml:space="preserve"> 4 por medio del cual se realizó </w:t>
            </w:r>
            <w:r w:rsidRPr="00DC0532">
              <w:rPr>
                <w:rFonts w:ascii="Arial" w:hAnsi="Arial" w:cs="Arial"/>
                <w:sz w:val="22"/>
                <w:szCs w:val="22"/>
              </w:rPr>
              <w:t xml:space="preserve">cesión parcial de la posición de fideicomitente incluyendo a Prosperidad Social respecto a la ejecución y operación del </w:t>
            </w:r>
            <w:r w:rsidR="00D07597">
              <w:rPr>
                <w:rFonts w:ascii="Arial" w:hAnsi="Arial" w:cs="Arial"/>
                <w:sz w:val="22"/>
                <w:szCs w:val="22"/>
              </w:rPr>
              <w:t>p</w:t>
            </w:r>
            <w:r w:rsidRPr="00DC0532">
              <w:rPr>
                <w:rFonts w:ascii="Arial" w:hAnsi="Arial" w:cs="Arial"/>
                <w:sz w:val="22"/>
                <w:szCs w:val="22"/>
              </w:rPr>
              <w:t xml:space="preserve">rograma Colombia Mayor, prorroga hasta el 15 </w:t>
            </w:r>
            <w:r w:rsidRPr="00DC0532">
              <w:rPr>
                <w:rFonts w:ascii="Arial" w:hAnsi="Arial" w:cs="Arial"/>
                <w:sz w:val="22"/>
                <w:szCs w:val="22"/>
              </w:rPr>
              <w:lastRenderedPageBreak/>
              <w:t>de junio de 2021, adiciona presupuesto y establece modificaciones a cláusulas específicas que involucran a Prosperidad Social como fideicomitente.</w:t>
            </w:r>
          </w:p>
          <w:p w14:paraId="14FD64C3" w14:textId="04B5F60F" w:rsidR="00F9161A" w:rsidRPr="00DC0532" w:rsidRDefault="00F9161A" w:rsidP="008D0D6D">
            <w:pPr>
              <w:pStyle w:val="NormalWeb"/>
              <w:jc w:val="both"/>
              <w:rPr>
                <w:rFonts w:ascii="Arial" w:hAnsi="Arial" w:cs="Arial"/>
                <w:sz w:val="22"/>
                <w:szCs w:val="22"/>
              </w:rPr>
            </w:pPr>
            <w:r>
              <w:rPr>
                <w:rFonts w:ascii="Arial" w:hAnsi="Arial" w:cs="Arial"/>
                <w:sz w:val="22"/>
                <w:szCs w:val="22"/>
              </w:rPr>
              <w:t>En</w:t>
            </w:r>
            <w:r w:rsidRPr="00F9161A">
              <w:rPr>
                <w:rFonts w:ascii="Arial" w:hAnsi="Arial" w:cs="Arial"/>
                <w:sz w:val="22"/>
                <w:szCs w:val="22"/>
              </w:rPr>
              <w:t xml:space="preserve"> sesión del 19 de enero de 2021, el comité directivo del Fondo de Solidaridad Pensional aprobó la asignación del presupuesto de gastos para la subcuenta de subsistencia del Fondo de Solidaridad Pensional de la vigencia 2021.</w:t>
            </w:r>
          </w:p>
          <w:p w14:paraId="23597DA6" w14:textId="235EE4BA" w:rsidR="008D0D6D" w:rsidRDefault="008D0D6D" w:rsidP="00E53C62">
            <w:pPr>
              <w:pStyle w:val="NormalWeb"/>
              <w:jc w:val="both"/>
              <w:rPr>
                <w:rFonts w:ascii="Arial" w:hAnsi="Arial" w:cs="Arial"/>
                <w:sz w:val="22"/>
                <w:szCs w:val="22"/>
              </w:rPr>
            </w:pPr>
            <w:r w:rsidRPr="00DC0532">
              <w:rPr>
                <w:rFonts w:ascii="Arial" w:hAnsi="Arial" w:cs="Arial"/>
                <w:sz w:val="22"/>
                <w:szCs w:val="22"/>
              </w:rPr>
              <w:t>La asignaci</w:t>
            </w:r>
            <w:r w:rsidR="00E53C62" w:rsidRPr="00DC0532">
              <w:rPr>
                <w:rFonts w:ascii="Arial" w:hAnsi="Arial" w:cs="Arial"/>
                <w:sz w:val="22"/>
                <w:szCs w:val="22"/>
              </w:rPr>
              <w:t>ón</w:t>
            </w:r>
            <w:r w:rsidRPr="00DC0532">
              <w:rPr>
                <w:rFonts w:ascii="Arial" w:hAnsi="Arial" w:cs="Arial"/>
                <w:sz w:val="22"/>
                <w:szCs w:val="22"/>
              </w:rPr>
              <w:t xml:space="preserve"> de cupos y los componentes que se financien ser</w:t>
            </w:r>
            <w:r w:rsidR="00E53C62" w:rsidRPr="00DC0532">
              <w:rPr>
                <w:rFonts w:ascii="Arial" w:hAnsi="Arial" w:cs="Arial"/>
                <w:sz w:val="22"/>
                <w:szCs w:val="22"/>
              </w:rPr>
              <w:t xml:space="preserve">án estructurados de conformidad con lo establecido en las normas que regulan la materia y la </w:t>
            </w:r>
            <w:r w:rsidR="00D07597">
              <w:rPr>
                <w:rFonts w:ascii="Arial" w:hAnsi="Arial" w:cs="Arial"/>
                <w:sz w:val="22"/>
                <w:szCs w:val="22"/>
              </w:rPr>
              <w:t>g</w:t>
            </w:r>
            <w:r w:rsidR="00E53C62" w:rsidRPr="00DC0532">
              <w:rPr>
                <w:rFonts w:ascii="Arial" w:hAnsi="Arial" w:cs="Arial"/>
                <w:sz w:val="22"/>
                <w:szCs w:val="22"/>
              </w:rPr>
              <w:t xml:space="preserve">uía </w:t>
            </w:r>
            <w:r w:rsidR="00D07597">
              <w:rPr>
                <w:rFonts w:ascii="Arial" w:hAnsi="Arial" w:cs="Arial"/>
                <w:sz w:val="22"/>
                <w:szCs w:val="22"/>
              </w:rPr>
              <w:t>o</w:t>
            </w:r>
            <w:r w:rsidR="00E53C62" w:rsidRPr="00DC0532">
              <w:rPr>
                <w:rFonts w:ascii="Arial" w:hAnsi="Arial" w:cs="Arial"/>
                <w:sz w:val="22"/>
                <w:szCs w:val="22"/>
              </w:rPr>
              <w:t xml:space="preserve">perativa del </w:t>
            </w:r>
            <w:r w:rsidR="00D07597">
              <w:rPr>
                <w:rFonts w:ascii="Arial" w:hAnsi="Arial" w:cs="Arial"/>
                <w:sz w:val="22"/>
                <w:szCs w:val="22"/>
              </w:rPr>
              <w:t>p</w:t>
            </w:r>
            <w:r w:rsidR="00E53C62" w:rsidRPr="00DC0532">
              <w:rPr>
                <w:rFonts w:ascii="Arial" w:hAnsi="Arial" w:cs="Arial"/>
                <w:sz w:val="22"/>
                <w:szCs w:val="22"/>
              </w:rPr>
              <w:t xml:space="preserve">rograma Colombia Mayor, teniendo en cuenta </w:t>
            </w:r>
            <w:r w:rsidRPr="00DC0532">
              <w:rPr>
                <w:rFonts w:ascii="Arial" w:hAnsi="Arial" w:cs="Arial"/>
                <w:sz w:val="22"/>
                <w:szCs w:val="22"/>
              </w:rPr>
              <w:t xml:space="preserve">la disponibilidad presupuestal y de conformidad con las metas de cobertura </w:t>
            </w:r>
            <w:r w:rsidR="00023868" w:rsidRPr="00DC0532">
              <w:rPr>
                <w:rFonts w:ascii="Arial" w:hAnsi="Arial" w:cs="Arial"/>
                <w:sz w:val="22"/>
                <w:szCs w:val="22"/>
              </w:rPr>
              <w:t>del programa</w:t>
            </w:r>
            <w:r w:rsidRPr="00DC0532">
              <w:rPr>
                <w:rFonts w:ascii="Arial" w:hAnsi="Arial" w:cs="Arial"/>
                <w:sz w:val="22"/>
                <w:szCs w:val="22"/>
              </w:rPr>
              <w:t xml:space="preserve">. </w:t>
            </w:r>
          </w:p>
          <w:p w14:paraId="0A797CB4" w14:textId="0F183B81" w:rsidR="003C49F6" w:rsidRPr="00DC0532" w:rsidRDefault="003C49F6" w:rsidP="00E53C62">
            <w:pPr>
              <w:pStyle w:val="NormalWeb"/>
              <w:jc w:val="both"/>
              <w:rPr>
                <w:rFonts w:ascii="Arial" w:hAnsi="Arial" w:cs="Arial"/>
                <w:sz w:val="22"/>
                <w:szCs w:val="22"/>
              </w:rPr>
            </w:pPr>
            <w:r>
              <w:rPr>
                <w:rFonts w:ascii="Arial" w:hAnsi="Arial" w:cs="Arial"/>
                <w:sz w:val="22"/>
                <w:szCs w:val="22"/>
              </w:rPr>
              <w:t xml:space="preserve">Los recursos para la financiación del programa </w:t>
            </w:r>
            <w:r w:rsidRPr="003C49F6">
              <w:rPr>
                <w:rFonts w:ascii="Arial" w:hAnsi="Arial" w:cs="Arial"/>
                <w:sz w:val="22"/>
                <w:szCs w:val="22"/>
              </w:rPr>
              <w:t>prov</w:t>
            </w:r>
            <w:r>
              <w:rPr>
                <w:rFonts w:ascii="Arial" w:hAnsi="Arial" w:cs="Arial"/>
                <w:sz w:val="22"/>
                <w:szCs w:val="22"/>
              </w:rPr>
              <w:t>ienen</w:t>
            </w:r>
            <w:r w:rsidRPr="003C49F6">
              <w:rPr>
                <w:rFonts w:ascii="Arial" w:hAnsi="Arial" w:cs="Arial"/>
                <w:sz w:val="22"/>
                <w:szCs w:val="22"/>
              </w:rPr>
              <w:t xml:space="preserve"> del Fondo de Solidaridad Pensional y </w:t>
            </w:r>
            <w:r>
              <w:rPr>
                <w:rFonts w:ascii="Arial" w:hAnsi="Arial" w:cs="Arial"/>
                <w:sz w:val="22"/>
                <w:szCs w:val="22"/>
              </w:rPr>
              <w:t>del</w:t>
            </w:r>
            <w:r w:rsidRPr="003C49F6">
              <w:rPr>
                <w:rFonts w:ascii="Arial" w:hAnsi="Arial" w:cs="Arial"/>
                <w:sz w:val="22"/>
                <w:szCs w:val="22"/>
              </w:rPr>
              <w:t xml:space="preserve"> Presupuesto General de la Nación, los cuales se encuentran ubicados en el presupuesto de Prosperidad Social, según los certificados de disponibilidad presupuestal </w:t>
            </w:r>
            <w:r>
              <w:rPr>
                <w:rFonts w:ascii="Arial" w:hAnsi="Arial" w:cs="Arial"/>
                <w:sz w:val="22"/>
                <w:szCs w:val="22"/>
              </w:rPr>
              <w:t>expedidos por la entidad.</w:t>
            </w:r>
          </w:p>
          <w:p w14:paraId="1712EAA2" w14:textId="4BC017D3" w:rsidR="003C49F6" w:rsidRPr="003C49F6" w:rsidRDefault="00E53C62" w:rsidP="00E53C62">
            <w:pPr>
              <w:autoSpaceDE w:val="0"/>
              <w:autoSpaceDN w:val="0"/>
              <w:adjustRightInd w:val="0"/>
              <w:jc w:val="both"/>
              <w:rPr>
                <w:rFonts w:cs="Arial"/>
                <w:b/>
                <w:bCs/>
                <w:color w:val="000000"/>
                <w:sz w:val="22"/>
                <w:szCs w:val="22"/>
              </w:rPr>
            </w:pPr>
            <w:r w:rsidRPr="00DC0532">
              <w:rPr>
                <w:rFonts w:cs="Arial"/>
                <w:sz w:val="22"/>
                <w:szCs w:val="22"/>
              </w:rPr>
              <w:t xml:space="preserve">De acuerdo con el desarrollo del </w:t>
            </w:r>
            <w:r w:rsidR="00D07597">
              <w:rPr>
                <w:rFonts w:cs="Arial"/>
                <w:sz w:val="22"/>
                <w:szCs w:val="22"/>
              </w:rPr>
              <w:t>p</w:t>
            </w:r>
            <w:r w:rsidRPr="00DC0532">
              <w:rPr>
                <w:rFonts w:cs="Arial"/>
                <w:sz w:val="22"/>
                <w:szCs w:val="22"/>
              </w:rPr>
              <w:t>rograma</w:t>
            </w:r>
            <w:r w:rsidR="000F0328" w:rsidRPr="00DC0532">
              <w:rPr>
                <w:rFonts w:cs="Arial"/>
                <w:sz w:val="22"/>
                <w:szCs w:val="22"/>
              </w:rPr>
              <w:t xml:space="preserve"> y en atención a los parámetros </w:t>
            </w:r>
            <w:r w:rsidRPr="00DC0532">
              <w:rPr>
                <w:rFonts w:cs="Arial"/>
                <w:sz w:val="22"/>
                <w:szCs w:val="22"/>
              </w:rPr>
              <w:t>establecidos en las normas</w:t>
            </w:r>
            <w:r w:rsidR="000F0328" w:rsidRPr="00DC0532">
              <w:rPr>
                <w:rFonts w:cs="Arial"/>
                <w:sz w:val="22"/>
                <w:szCs w:val="22"/>
              </w:rPr>
              <w:t xml:space="preserve"> que lo regulan</w:t>
            </w:r>
            <w:r w:rsidRPr="00DC0532">
              <w:rPr>
                <w:rFonts w:cs="Arial"/>
                <w:sz w:val="22"/>
                <w:szCs w:val="22"/>
              </w:rPr>
              <w:t xml:space="preserve"> y en la </w:t>
            </w:r>
            <w:r w:rsidR="00D07597">
              <w:rPr>
                <w:rFonts w:cs="Arial"/>
                <w:sz w:val="22"/>
                <w:szCs w:val="22"/>
              </w:rPr>
              <w:t>g</w:t>
            </w:r>
            <w:r w:rsidRPr="00DC0532">
              <w:rPr>
                <w:rFonts w:cs="Arial"/>
                <w:sz w:val="22"/>
                <w:szCs w:val="22"/>
              </w:rPr>
              <w:t xml:space="preserve">uía </w:t>
            </w:r>
            <w:r w:rsidR="00D07597">
              <w:rPr>
                <w:rFonts w:cs="Arial"/>
                <w:sz w:val="22"/>
                <w:szCs w:val="22"/>
              </w:rPr>
              <w:t>o</w:t>
            </w:r>
            <w:r w:rsidRPr="00DC0532">
              <w:rPr>
                <w:rFonts w:cs="Arial"/>
                <w:sz w:val="22"/>
                <w:szCs w:val="22"/>
              </w:rPr>
              <w:t xml:space="preserve">perativa en cuento a la asignación de cupos, Prosperidad Social asignará </w:t>
            </w:r>
            <w:r w:rsidR="000F0328" w:rsidRPr="00DC0532">
              <w:rPr>
                <w:rFonts w:cs="Arial"/>
                <w:sz w:val="22"/>
                <w:szCs w:val="22"/>
              </w:rPr>
              <w:t xml:space="preserve">cupos, para el año 2021, </w:t>
            </w:r>
            <w:r w:rsidR="000F0328" w:rsidRPr="00DC0532">
              <w:rPr>
                <w:rFonts w:cs="Arial"/>
                <w:b/>
                <w:bCs/>
                <w:color w:val="000000"/>
                <w:sz w:val="22"/>
                <w:szCs w:val="22"/>
              </w:rPr>
              <w:t xml:space="preserve">por valor de </w:t>
            </w:r>
            <w:r w:rsidR="007D1E7F" w:rsidRPr="007D1E7F">
              <w:rPr>
                <w:rFonts w:cs="Arial"/>
                <w:b/>
                <w:sz w:val="22"/>
                <w:szCs w:val="22"/>
                <w:lang w:val="es-ES_tradnl"/>
              </w:rPr>
              <w:t>UN BILLÓN SEISCIENTOS OCHENTA Y UN MIL SETECIENTOS ONCE MILLONES SETECIENTOS CINCUENTA MIL NOVECIENTOS CUATRO PESOS M/CTE ($1.681.711.750.904)  según los certificados de disponibilidad presupuestal N.</w:t>
            </w:r>
            <w:r w:rsidR="00D4081C">
              <w:rPr>
                <w:rFonts w:cs="Arial"/>
                <w:b/>
                <w:sz w:val="22"/>
                <w:szCs w:val="22"/>
                <w:lang w:val="es-ES_tradnl"/>
              </w:rPr>
              <w:t>º</w:t>
            </w:r>
            <w:r w:rsidR="007D1E7F" w:rsidRPr="007D1E7F">
              <w:rPr>
                <w:rFonts w:cs="Arial"/>
                <w:b/>
                <w:sz w:val="22"/>
                <w:szCs w:val="22"/>
                <w:lang w:val="es-ES_tradnl"/>
              </w:rPr>
              <w:t xml:space="preserve"> 11521 y 11621 del 2021 </w:t>
            </w:r>
            <w:r w:rsidR="007D1E7F">
              <w:rPr>
                <w:rFonts w:cs="Arial"/>
                <w:b/>
                <w:sz w:val="22"/>
                <w:szCs w:val="22"/>
                <w:lang w:val="es-ES_tradnl"/>
              </w:rPr>
              <w:t>que permiten</w:t>
            </w:r>
            <w:r w:rsidRPr="00DC0532">
              <w:rPr>
                <w:rFonts w:cs="Arial"/>
                <w:b/>
                <w:bCs/>
                <w:color w:val="000000"/>
                <w:sz w:val="22"/>
                <w:szCs w:val="22"/>
              </w:rPr>
              <w:t xml:space="preserve"> garantizar la continuidad de la financiación de los subsidios en la modalidad directa e indirecta del </w:t>
            </w:r>
            <w:r w:rsidR="00D07597">
              <w:rPr>
                <w:rFonts w:cs="Arial"/>
                <w:b/>
                <w:bCs/>
                <w:color w:val="000000"/>
                <w:sz w:val="22"/>
                <w:szCs w:val="22"/>
              </w:rPr>
              <w:t>p</w:t>
            </w:r>
            <w:r w:rsidRPr="00DC0532">
              <w:rPr>
                <w:rFonts w:cs="Arial"/>
                <w:b/>
                <w:bCs/>
                <w:color w:val="000000"/>
                <w:sz w:val="22"/>
                <w:szCs w:val="22"/>
              </w:rPr>
              <w:t>rograma</w:t>
            </w:r>
            <w:r w:rsidR="000F0328" w:rsidRPr="00DC0532">
              <w:rPr>
                <w:rFonts w:cs="Arial"/>
                <w:b/>
                <w:bCs/>
                <w:color w:val="000000"/>
                <w:sz w:val="22"/>
                <w:szCs w:val="22"/>
              </w:rPr>
              <w:t>.</w:t>
            </w:r>
            <w:r w:rsidRPr="00DC0532">
              <w:rPr>
                <w:rFonts w:cs="Arial"/>
                <w:b/>
                <w:bCs/>
                <w:color w:val="000000"/>
                <w:sz w:val="22"/>
                <w:szCs w:val="22"/>
              </w:rPr>
              <w:t xml:space="preserve"> </w:t>
            </w:r>
          </w:p>
          <w:p w14:paraId="3AD45FB8" w14:textId="77777777" w:rsidR="000F0328" w:rsidRPr="00DC0532" w:rsidRDefault="000F0328" w:rsidP="000F0328">
            <w:pPr>
              <w:autoSpaceDE w:val="0"/>
              <w:autoSpaceDN w:val="0"/>
              <w:adjustRightInd w:val="0"/>
              <w:jc w:val="both"/>
              <w:rPr>
                <w:rFonts w:cs="Arial"/>
                <w:bCs/>
                <w:sz w:val="22"/>
                <w:szCs w:val="22"/>
              </w:rPr>
            </w:pPr>
          </w:p>
          <w:p w14:paraId="0A14839D" w14:textId="3FEFF8CB" w:rsidR="000F0328" w:rsidRPr="00DC0532" w:rsidRDefault="000F0328" w:rsidP="000F0328">
            <w:pPr>
              <w:autoSpaceDE w:val="0"/>
              <w:autoSpaceDN w:val="0"/>
              <w:adjustRightInd w:val="0"/>
              <w:jc w:val="both"/>
              <w:rPr>
                <w:rFonts w:cs="Arial"/>
                <w:bCs/>
                <w:sz w:val="22"/>
                <w:szCs w:val="22"/>
              </w:rPr>
            </w:pPr>
            <w:r w:rsidRPr="00DC0532">
              <w:rPr>
                <w:rFonts w:cs="Arial"/>
                <w:bCs/>
                <w:sz w:val="22"/>
                <w:szCs w:val="22"/>
              </w:rPr>
              <w:t>El valor antes referido se asignará de</w:t>
            </w:r>
            <w:r w:rsidR="00915B25">
              <w:rPr>
                <w:rFonts w:cs="Arial"/>
                <w:bCs/>
                <w:sz w:val="22"/>
                <w:szCs w:val="22"/>
              </w:rPr>
              <w:t xml:space="preserve"> la siguiente manera:</w:t>
            </w:r>
          </w:p>
          <w:p w14:paraId="2325AFD2" w14:textId="77777777" w:rsidR="00560065" w:rsidRPr="00DC0532" w:rsidRDefault="00560065" w:rsidP="000F0328">
            <w:pPr>
              <w:autoSpaceDE w:val="0"/>
              <w:autoSpaceDN w:val="0"/>
              <w:adjustRightInd w:val="0"/>
              <w:jc w:val="both"/>
              <w:rPr>
                <w:rFonts w:cs="Arial"/>
                <w:bCs/>
                <w:sz w:val="22"/>
                <w:szCs w:val="22"/>
              </w:rPr>
            </w:pPr>
          </w:p>
          <w:tbl>
            <w:tblPr>
              <w:tblStyle w:val="Tablanormal4"/>
              <w:tblW w:w="9149" w:type="dxa"/>
              <w:tblLayout w:type="fixed"/>
              <w:tblLook w:val="04A0" w:firstRow="1" w:lastRow="0" w:firstColumn="1" w:lastColumn="0" w:noHBand="0" w:noVBand="1"/>
            </w:tblPr>
            <w:tblGrid>
              <w:gridCol w:w="3666"/>
              <w:gridCol w:w="2072"/>
              <w:gridCol w:w="3411"/>
            </w:tblGrid>
            <w:tr w:rsidR="00915B25" w14:paraId="54DFE090" w14:textId="77777777" w:rsidTr="00915B25">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3666" w:type="dxa"/>
                  <w:vAlign w:val="center"/>
                  <w:hideMark/>
                </w:tcPr>
                <w:p w14:paraId="76091289" w14:textId="77777777" w:rsidR="00915B25" w:rsidRPr="00915B25" w:rsidRDefault="00915B25" w:rsidP="00915B25">
                  <w:pPr>
                    <w:jc w:val="center"/>
                    <w:rPr>
                      <w:rFonts w:ascii="Calibri" w:hAnsi="Calibri"/>
                      <w:color w:val="000000" w:themeColor="text1"/>
                      <w:lang w:val="es-CO" w:eastAsia="es-ES_tradnl"/>
                    </w:rPr>
                  </w:pPr>
                  <w:r w:rsidRPr="00915B25">
                    <w:rPr>
                      <w:rFonts w:ascii="Calibri" w:hAnsi="Calibri"/>
                      <w:b w:val="0"/>
                      <w:bCs w:val="0"/>
                      <w:color w:val="000000" w:themeColor="text1"/>
                    </w:rPr>
                    <w:t>GRUPO POBLACIONAL</w:t>
                  </w:r>
                </w:p>
              </w:tc>
              <w:tc>
                <w:tcPr>
                  <w:tcW w:w="2072" w:type="dxa"/>
                  <w:vAlign w:val="center"/>
                  <w:hideMark/>
                </w:tcPr>
                <w:p w14:paraId="551915DE" w14:textId="156EA697" w:rsidR="00915B25" w:rsidRPr="00915B25" w:rsidRDefault="00915B25" w:rsidP="00915B25">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rPr>
                  </w:pPr>
                  <w:r w:rsidRPr="00915B25">
                    <w:rPr>
                      <w:rFonts w:ascii="Calibri" w:hAnsi="Calibri"/>
                      <w:b w:val="0"/>
                      <w:bCs w:val="0"/>
                      <w:color w:val="000000" w:themeColor="text1"/>
                    </w:rPr>
                    <w:t>Cupos</w:t>
                  </w:r>
                </w:p>
              </w:tc>
              <w:tc>
                <w:tcPr>
                  <w:tcW w:w="3411" w:type="dxa"/>
                  <w:vAlign w:val="center"/>
                  <w:hideMark/>
                </w:tcPr>
                <w:p w14:paraId="3E68C87B" w14:textId="56064FCE" w:rsidR="00915B25" w:rsidRPr="00915B25" w:rsidRDefault="00915B25" w:rsidP="00915B25">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rPr>
                  </w:pPr>
                  <w:r w:rsidRPr="00915B25">
                    <w:rPr>
                      <w:rFonts w:ascii="Calibri" w:hAnsi="Calibri"/>
                      <w:b w:val="0"/>
                      <w:bCs w:val="0"/>
                      <w:color w:val="000000" w:themeColor="text1"/>
                    </w:rPr>
                    <w:t>Asignación total</w:t>
                  </w:r>
                </w:p>
              </w:tc>
            </w:tr>
            <w:tr w:rsidR="00915B25" w14:paraId="64DA6480" w14:textId="77777777" w:rsidTr="00915B25">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666" w:type="dxa"/>
                  <w:noWrap/>
                  <w:vAlign w:val="center"/>
                  <w:hideMark/>
                </w:tcPr>
                <w:p w14:paraId="2BB6D1E6" w14:textId="3215FE27" w:rsidR="00915B25" w:rsidRDefault="00915B25" w:rsidP="00915B25">
                  <w:pPr>
                    <w:jc w:val="center"/>
                    <w:rPr>
                      <w:rFonts w:ascii="Calibri" w:hAnsi="Calibri"/>
                      <w:b w:val="0"/>
                      <w:bCs w:val="0"/>
                      <w:color w:val="000000"/>
                      <w:sz w:val="22"/>
                      <w:szCs w:val="22"/>
                    </w:rPr>
                  </w:pPr>
                  <w:r>
                    <w:rPr>
                      <w:rFonts w:ascii="Calibri" w:hAnsi="Calibri"/>
                      <w:color w:val="000000"/>
                      <w:sz w:val="22"/>
                      <w:szCs w:val="22"/>
                    </w:rPr>
                    <w:t xml:space="preserve">Cupos a </w:t>
                  </w:r>
                  <w:r w:rsidR="00EA0C29">
                    <w:rPr>
                      <w:rFonts w:ascii="Calibri" w:hAnsi="Calibri"/>
                      <w:color w:val="000000"/>
                      <w:sz w:val="22"/>
                      <w:szCs w:val="22"/>
                    </w:rPr>
                    <w:t>m</w:t>
                  </w:r>
                  <w:r>
                    <w:rPr>
                      <w:rFonts w:ascii="Calibri" w:hAnsi="Calibri"/>
                      <w:color w:val="000000"/>
                      <w:sz w:val="22"/>
                      <w:szCs w:val="22"/>
                    </w:rPr>
                    <w:t>unicipios</w:t>
                  </w:r>
                </w:p>
              </w:tc>
              <w:tc>
                <w:tcPr>
                  <w:tcW w:w="2072" w:type="dxa"/>
                  <w:noWrap/>
                  <w:vAlign w:val="center"/>
                  <w:hideMark/>
                </w:tcPr>
                <w:p w14:paraId="1F9F3960" w14:textId="14B59E77" w:rsidR="00915B25" w:rsidRDefault="00915B25" w:rsidP="00915B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1.658.180</w:t>
                  </w:r>
                </w:p>
              </w:tc>
              <w:tc>
                <w:tcPr>
                  <w:tcW w:w="3411" w:type="dxa"/>
                  <w:noWrap/>
                  <w:vAlign w:val="center"/>
                  <w:hideMark/>
                </w:tcPr>
                <w:p w14:paraId="3A68E307" w14:textId="3B2F3F14" w:rsidR="00915B25" w:rsidRDefault="00915B25" w:rsidP="00915B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1.591.843.920.000</w:t>
                  </w:r>
                </w:p>
              </w:tc>
            </w:tr>
            <w:tr w:rsidR="00915B25" w14:paraId="551CE5C2" w14:textId="77777777" w:rsidTr="00915B25">
              <w:trPr>
                <w:trHeight w:val="169"/>
              </w:trPr>
              <w:tc>
                <w:tcPr>
                  <w:cnfStyle w:val="001000000000" w:firstRow="0" w:lastRow="0" w:firstColumn="1" w:lastColumn="0" w:oddVBand="0" w:evenVBand="0" w:oddHBand="0" w:evenHBand="0" w:firstRowFirstColumn="0" w:firstRowLastColumn="0" w:lastRowFirstColumn="0" w:lastRowLastColumn="0"/>
                  <w:tcW w:w="3666" w:type="dxa"/>
                  <w:noWrap/>
                  <w:vAlign w:val="center"/>
                  <w:hideMark/>
                </w:tcPr>
                <w:p w14:paraId="294E5DFD" w14:textId="432A38A1" w:rsidR="00915B25" w:rsidRDefault="00915B25" w:rsidP="00915B25">
                  <w:pPr>
                    <w:jc w:val="center"/>
                    <w:rPr>
                      <w:rFonts w:ascii="Calibri" w:hAnsi="Calibri"/>
                      <w:color w:val="000000"/>
                      <w:sz w:val="22"/>
                      <w:szCs w:val="22"/>
                    </w:rPr>
                  </w:pPr>
                  <w:r>
                    <w:rPr>
                      <w:rFonts w:ascii="Calibri" w:hAnsi="Calibri"/>
                      <w:color w:val="000000"/>
                      <w:sz w:val="22"/>
                      <w:szCs w:val="22"/>
                    </w:rPr>
                    <w:t>Colombia Mayor Indígena</w:t>
                  </w:r>
                </w:p>
              </w:tc>
              <w:tc>
                <w:tcPr>
                  <w:tcW w:w="2072" w:type="dxa"/>
                  <w:noWrap/>
                  <w:vAlign w:val="center"/>
                  <w:hideMark/>
                </w:tcPr>
                <w:p w14:paraId="3E78846F" w14:textId="219C0C67" w:rsidR="00915B25" w:rsidRDefault="00915B25" w:rsidP="00915B2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40.691</w:t>
                  </w:r>
                </w:p>
              </w:tc>
              <w:tc>
                <w:tcPr>
                  <w:tcW w:w="3411" w:type="dxa"/>
                  <w:noWrap/>
                  <w:vAlign w:val="center"/>
                  <w:hideMark/>
                </w:tcPr>
                <w:p w14:paraId="307D61C7" w14:textId="2DC96962" w:rsidR="00915B25" w:rsidRDefault="00915B25" w:rsidP="00915B2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39.063.360.000</w:t>
                  </w:r>
                </w:p>
              </w:tc>
            </w:tr>
            <w:tr w:rsidR="00915B25" w14:paraId="79B575D9" w14:textId="77777777" w:rsidTr="00915B25">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666" w:type="dxa"/>
                  <w:noWrap/>
                  <w:vAlign w:val="center"/>
                  <w:hideMark/>
                </w:tcPr>
                <w:p w14:paraId="50A734D8" w14:textId="6969B99D" w:rsidR="00915B25" w:rsidRDefault="00915B25" w:rsidP="00915B25">
                  <w:pPr>
                    <w:jc w:val="center"/>
                    <w:rPr>
                      <w:rFonts w:ascii="Calibri" w:hAnsi="Calibri"/>
                      <w:color w:val="000000"/>
                      <w:sz w:val="22"/>
                      <w:szCs w:val="22"/>
                    </w:rPr>
                  </w:pPr>
                  <w:r>
                    <w:rPr>
                      <w:rFonts w:ascii="Calibri" w:hAnsi="Calibri"/>
                      <w:color w:val="000000"/>
                      <w:sz w:val="22"/>
                      <w:szCs w:val="22"/>
                    </w:rPr>
                    <w:t>Subsidio Indirecto</w:t>
                  </w:r>
                </w:p>
              </w:tc>
              <w:tc>
                <w:tcPr>
                  <w:tcW w:w="2072" w:type="dxa"/>
                  <w:noWrap/>
                  <w:vAlign w:val="center"/>
                  <w:hideMark/>
                </w:tcPr>
                <w:p w14:paraId="39A3157D" w14:textId="77777777" w:rsidR="00915B25" w:rsidRDefault="00915B25" w:rsidP="00915B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6.463</w:t>
                  </w:r>
                </w:p>
              </w:tc>
              <w:tc>
                <w:tcPr>
                  <w:tcW w:w="3411" w:type="dxa"/>
                  <w:noWrap/>
                  <w:vAlign w:val="center"/>
                  <w:hideMark/>
                </w:tcPr>
                <w:p w14:paraId="407C4024" w14:textId="77777777" w:rsidR="00915B25" w:rsidRDefault="00915B25" w:rsidP="00915B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6.213.360.000</w:t>
                  </w:r>
                </w:p>
              </w:tc>
            </w:tr>
            <w:tr w:rsidR="00915B25" w14:paraId="2AB217CC" w14:textId="77777777" w:rsidTr="00915B25">
              <w:trPr>
                <w:trHeight w:val="180"/>
              </w:trPr>
              <w:tc>
                <w:tcPr>
                  <w:cnfStyle w:val="001000000000" w:firstRow="0" w:lastRow="0" w:firstColumn="1" w:lastColumn="0" w:oddVBand="0" w:evenVBand="0" w:oddHBand="0" w:evenHBand="0" w:firstRowFirstColumn="0" w:firstRowLastColumn="0" w:lastRowFirstColumn="0" w:lastRowLastColumn="0"/>
                  <w:tcW w:w="3666" w:type="dxa"/>
                  <w:noWrap/>
                  <w:vAlign w:val="center"/>
                  <w:hideMark/>
                </w:tcPr>
                <w:p w14:paraId="4176FEB1" w14:textId="1DDBD45D" w:rsidR="00915B25" w:rsidRDefault="00915B25" w:rsidP="00915B25">
                  <w:pPr>
                    <w:jc w:val="center"/>
                    <w:rPr>
                      <w:rFonts w:ascii="Calibri" w:hAnsi="Calibri"/>
                      <w:color w:val="000000"/>
                      <w:sz w:val="22"/>
                      <w:szCs w:val="22"/>
                    </w:rPr>
                  </w:pPr>
                  <w:r>
                    <w:rPr>
                      <w:rFonts w:ascii="Calibri" w:hAnsi="Calibri"/>
                      <w:color w:val="000000"/>
                      <w:sz w:val="22"/>
                      <w:szCs w:val="22"/>
                    </w:rPr>
                    <w:t>Cupos BEPS</w:t>
                  </w:r>
                </w:p>
              </w:tc>
              <w:tc>
                <w:tcPr>
                  <w:tcW w:w="2072" w:type="dxa"/>
                  <w:noWrap/>
                  <w:vAlign w:val="center"/>
                  <w:hideMark/>
                </w:tcPr>
                <w:p w14:paraId="0D15A5B2" w14:textId="03CA1D02" w:rsidR="00915B25" w:rsidRDefault="00915B25" w:rsidP="00915B2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17.000</w:t>
                  </w:r>
                </w:p>
              </w:tc>
              <w:tc>
                <w:tcPr>
                  <w:tcW w:w="3411" w:type="dxa"/>
                  <w:noWrap/>
                  <w:vAlign w:val="center"/>
                  <w:hideMark/>
                </w:tcPr>
                <w:p w14:paraId="12824587" w14:textId="2FAB2FCA" w:rsidR="00915B25" w:rsidRDefault="00915B25" w:rsidP="00915B2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16.320.000.000</w:t>
                  </w:r>
                </w:p>
              </w:tc>
            </w:tr>
          </w:tbl>
          <w:p w14:paraId="16913F7E" w14:textId="77777777" w:rsidR="00560065" w:rsidRPr="00DC0532" w:rsidRDefault="00560065" w:rsidP="001D6D6E">
            <w:pPr>
              <w:autoSpaceDE w:val="0"/>
              <w:autoSpaceDN w:val="0"/>
              <w:adjustRightInd w:val="0"/>
              <w:jc w:val="both"/>
              <w:rPr>
                <w:rFonts w:cs="Arial"/>
                <w:color w:val="000000"/>
                <w:sz w:val="22"/>
                <w:szCs w:val="22"/>
                <w:lang w:val="es-MX" w:eastAsia="es-CO"/>
              </w:rPr>
            </w:pPr>
          </w:p>
          <w:p w14:paraId="631606A8" w14:textId="52844E91" w:rsidR="001D6D6E" w:rsidRPr="00DC0532" w:rsidRDefault="00560065" w:rsidP="001D6D6E">
            <w:pPr>
              <w:autoSpaceDE w:val="0"/>
              <w:autoSpaceDN w:val="0"/>
              <w:adjustRightInd w:val="0"/>
              <w:jc w:val="both"/>
              <w:rPr>
                <w:rFonts w:cs="Arial"/>
                <w:color w:val="000000"/>
                <w:sz w:val="22"/>
                <w:szCs w:val="22"/>
                <w:lang w:val="es-MX" w:eastAsia="es-CO"/>
              </w:rPr>
            </w:pPr>
            <w:r w:rsidRPr="00DC0532">
              <w:rPr>
                <w:rFonts w:cs="Arial"/>
                <w:color w:val="000000"/>
                <w:sz w:val="22"/>
                <w:szCs w:val="22"/>
                <w:lang w:val="es-MX" w:eastAsia="es-CO"/>
              </w:rPr>
              <w:t xml:space="preserve">En virtud del análisis anterior, </w:t>
            </w:r>
            <w:r w:rsidR="001D6D6E" w:rsidRPr="00DC0532">
              <w:rPr>
                <w:rFonts w:cs="Arial"/>
                <w:color w:val="000000"/>
                <w:sz w:val="22"/>
                <w:szCs w:val="22"/>
                <w:lang w:val="es-MX" w:eastAsia="es-CO"/>
              </w:rPr>
              <w:t xml:space="preserve">se considera necesario </w:t>
            </w:r>
            <w:r w:rsidR="00D63D0C" w:rsidRPr="00DC0532">
              <w:rPr>
                <w:rFonts w:cs="Arial"/>
                <w:color w:val="000000"/>
                <w:sz w:val="22"/>
                <w:szCs w:val="22"/>
                <w:lang w:val="es-MX" w:eastAsia="es-CO"/>
              </w:rPr>
              <w:t xml:space="preserve">proferir acto administrativo por </w:t>
            </w:r>
            <w:r w:rsidR="00EA0C29">
              <w:rPr>
                <w:rFonts w:cs="Arial"/>
                <w:color w:val="000000"/>
                <w:sz w:val="22"/>
                <w:szCs w:val="22"/>
                <w:lang w:val="es-MX" w:eastAsia="es-CO"/>
              </w:rPr>
              <w:t>medio d</w:t>
            </w:r>
            <w:r w:rsidR="00D63D0C" w:rsidRPr="00DC0532">
              <w:rPr>
                <w:rFonts w:cs="Arial"/>
                <w:color w:val="000000"/>
                <w:sz w:val="22"/>
                <w:szCs w:val="22"/>
                <w:lang w:val="es-MX" w:eastAsia="es-CO"/>
              </w:rPr>
              <w:t xml:space="preserve">el cual se realice la asignación de cupos atendiendo los parámetros de la </w:t>
            </w:r>
            <w:r w:rsidR="00D07597">
              <w:rPr>
                <w:rFonts w:cs="Arial"/>
                <w:color w:val="000000"/>
                <w:sz w:val="22"/>
                <w:szCs w:val="22"/>
                <w:lang w:val="es-MX" w:eastAsia="es-CO"/>
              </w:rPr>
              <w:t>g</w:t>
            </w:r>
            <w:r w:rsidR="00D63D0C" w:rsidRPr="00DC0532">
              <w:rPr>
                <w:rFonts w:cs="Arial"/>
                <w:color w:val="000000"/>
                <w:sz w:val="22"/>
                <w:szCs w:val="22"/>
                <w:lang w:val="es-MX" w:eastAsia="es-CO"/>
              </w:rPr>
              <w:t xml:space="preserve">uía </w:t>
            </w:r>
            <w:r w:rsidR="00D07597">
              <w:rPr>
                <w:rFonts w:cs="Arial"/>
                <w:color w:val="000000"/>
                <w:sz w:val="22"/>
                <w:szCs w:val="22"/>
                <w:lang w:val="es-MX" w:eastAsia="es-CO"/>
              </w:rPr>
              <w:t>o</w:t>
            </w:r>
            <w:r w:rsidR="00D63D0C" w:rsidRPr="00DC0532">
              <w:rPr>
                <w:rFonts w:cs="Arial"/>
                <w:color w:val="000000"/>
                <w:sz w:val="22"/>
                <w:szCs w:val="22"/>
                <w:lang w:val="es-MX" w:eastAsia="es-CO"/>
              </w:rPr>
              <w:t xml:space="preserve">perativa del </w:t>
            </w:r>
            <w:r w:rsidR="00D07597">
              <w:rPr>
                <w:rFonts w:cs="Arial"/>
                <w:color w:val="000000"/>
                <w:sz w:val="22"/>
                <w:szCs w:val="22"/>
                <w:lang w:val="es-MX" w:eastAsia="es-CO"/>
              </w:rPr>
              <w:t>p</w:t>
            </w:r>
            <w:r w:rsidR="00D63D0C" w:rsidRPr="00DC0532">
              <w:rPr>
                <w:rFonts w:cs="Arial"/>
                <w:color w:val="000000"/>
                <w:sz w:val="22"/>
                <w:szCs w:val="22"/>
                <w:lang w:val="es-MX" w:eastAsia="es-CO"/>
              </w:rPr>
              <w:t xml:space="preserve">rograma de </w:t>
            </w:r>
            <w:r w:rsidR="00D07597">
              <w:rPr>
                <w:rFonts w:cs="Arial"/>
                <w:color w:val="000000"/>
                <w:sz w:val="22"/>
                <w:szCs w:val="22"/>
                <w:lang w:val="es-MX" w:eastAsia="es-CO"/>
              </w:rPr>
              <w:t>p</w:t>
            </w:r>
            <w:r w:rsidR="00D63D0C" w:rsidRPr="00DC0532">
              <w:rPr>
                <w:rFonts w:cs="Arial"/>
                <w:color w:val="000000"/>
                <w:sz w:val="22"/>
                <w:szCs w:val="22"/>
                <w:lang w:val="es-MX" w:eastAsia="es-CO"/>
              </w:rPr>
              <w:t xml:space="preserve">rotección </w:t>
            </w:r>
            <w:r w:rsidR="00D07597">
              <w:rPr>
                <w:rFonts w:cs="Arial"/>
                <w:color w:val="000000"/>
                <w:sz w:val="22"/>
                <w:szCs w:val="22"/>
                <w:lang w:val="es-MX" w:eastAsia="es-CO"/>
              </w:rPr>
              <w:t>s</w:t>
            </w:r>
            <w:r w:rsidR="00D63D0C" w:rsidRPr="00DC0532">
              <w:rPr>
                <w:rFonts w:cs="Arial"/>
                <w:color w:val="000000"/>
                <w:sz w:val="22"/>
                <w:szCs w:val="22"/>
                <w:lang w:val="es-MX" w:eastAsia="es-CO"/>
              </w:rPr>
              <w:t xml:space="preserve">ocial al </w:t>
            </w:r>
            <w:r w:rsidR="00D07597">
              <w:rPr>
                <w:rFonts w:cs="Arial"/>
                <w:color w:val="000000"/>
                <w:sz w:val="22"/>
                <w:szCs w:val="22"/>
                <w:lang w:val="es-MX" w:eastAsia="es-CO"/>
              </w:rPr>
              <w:t>a</w:t>
            </w:r>
            <w:r w:rsidR="00D63D0C" w:rsidRPr="00DC0532">
              <w:rPr>
                <w:rFonts w:cs="Arial"/>
                <w:color w:val="000000"/>
                <w:sz w:val="22"/>
                <w:szCs w:val="22"/>
                <w:lang w:val="es-MX" w:eastAsia="es-CO"/>
              </w:rPr>
              <w:t xml:space="preserve">dulto </w:t>
            </w:r>
            <w:r w:rsidR="00D07597">
              <w:rPr>
                <w:rFonts w:cs="Arial"/>
                <w:color w:val="000000"/>
                <w:sz w:val="22"/>
                <w:szCs w:val="22"/>
                <w:lang w:val="es-MX" w:eastAsia="es-CO"/>
              </w:rPr>
              <w:t>m</w:t>
            </w:r>
            <w:r w:rsidR="00D63D0C" w:rsidRPr="00DC0532">
              <w:rPr>
                <w:rFonts w:cs="Arial"/>
                <w:color w:val="000000"/>
                <w:sz w:val="22"/>
                <w:szCs w:val="22"/>
                <w:lang w:val="es-MX" w:eastAsia="es-CO"/>
              </w:rPr>
              <w:t>ayor hoy Colombia Mayor, de con</w:t>
            </w:r>
            <w:r w:rsidR="00D07597">
              <w:rPr>
                <w:rFonts w:cs="Arial"/>
                <w:color w:val="000000"/>
                <w:sz w:val="22"/>
                <w:szCs w:val="22"/>
                <w:lang w:val="es-MX" w:eastAsia="es-CO"/>
              </w:rPr>
              <w:t>fo</w:t>
            </w:r>
            <w:r w:rsidR="00D63D0C" w:rsidRPr="00DC0532">
              <w:rPr>
                <w:rFonts w:cs="Arial"/>
                <w:color w:val="000000"/>
                <w:sz w:val="22"/>
                <w:szCs w:val="22"/>
                <w:lang w:val="es-MX" w:eastAsia="es-CO"/>
              </w:rPr>
              <w:t>rmidad con la distr</w:t>
            </w:r>
            <w:r w:rsidR="00D07597">
              <w:rPr>
                <w:rFonts w:cs="Arial"/>
                <w:color w:val="000000"/>
                <w:sz w:val="22"/>
                <w:szCs w:val="22"/>
                <w:lang w:val="es-MX" w:eastAsia="es-CO"/>
              </w:rPr>
              <w:t>i</w:t>
            </w:r>
            <w:r w:rsidR="00D63D0C" w:rsidRPr="00DC0532">
              <w:rPr>
                <w:rFonts w:cs="Arial"/>
                <w:color w:val="000000"/>
                <w:sz w:val="22"/>
                <w:szCs w:val="22"/>
                <w:lang w:val="es-MX" w:eastAsia="es-CO"/>
              </w:rPr>
              <w:t>bución de la asignación antes transcrita</w:t>
            </w:r>
            <w:r w:rsidR="001D6D6E" w:rsidRPr="00DC0532">
              <w:rPr>
                <w:rFonts w:cs="Arial"/>
                <w:color w:val="000000"/>
                <w:sz w:val="22"/>
                <w:szCs w:val="22"/>
                <w:lang w:val="es-MX" w:eastAsia="es-CO"/>
              </w:rPr>
              <w:t>.</w:t>
            </w:r>
          </w:p>
          <w:p w14:paraId="5F0A444E" w14:textId="77777777" w:rsidR="001D6D6E" w:rsidRPr="00DC0532" w:rsidRDefault="001D6D6E" w:rsidP="001D6D6E">
            <w:pPr>
              <w:autoSpaceDE w:val="0"/>
              <w:autoSpaceDN w:val="0"/>
              <w:adjustRightInd w:val="0"/>
              <w:rPr>
                <w:rFonts w:cs="Arial"/>
                <w:color w:val="000000"/>
                <w:sz w:val="22"/>
                <w:szCs w:val="22"/>
                <w:lang w:val="es-MX" w:eastAsia="es-CO"/>
              </w:rPr>
            </w:pPr>
          </w:p>
          <w:p w14:paraId="27EB460B" w14:textId="77777777" w:rsidR="00251FCE" w:rsidRPr="00DC0532" w:rsidRDefault="00251FCE" w:rsidP="0075705D">
            <w:pPr>
              <w:jc w:val="both"/>
              <w:rPr>
                <w:sz w:val="22"/>
                <w:szCs w:val="22"/>
                <w:lang w:eastAsia="es-CO"/>
              </w:rPr>
            </w:pPr>
          </w:p>
        </w:tc>
      </w:tr>
      <w:tr w:rsidR="00DF60FD" w:rsidRPr="009F7CED" w14:paraId="4D5A172C"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59E405B9" w14:textId="29296078" w:rsidR="00DF60FD" w:rsidRDefault="00291518" w:rsidP="00AB73D2">
            <w:pPr>
              <w:numPr>
                <w:ilvl w:val="0"/>
                <w:numId w:val="1"/>
              </w:numPr>
              <w:ind w:left="494"/>
              <w:rPr>
                <w:rFonts w:cs="Arial"/>
                <w:b/>
                <w:color w:val="000000"/>
                <w:sz w:val="22"/>
                <w:szCs w:val="22"/>
              </w:rPr>
            </w:pPr>
            <w:r w:rsidRPr="009F7CED">
              <w:rPr>
                <w:rFonts w:cs="Arial"/>
                <w:b/>
                <w:color w:val="000000"/>
                <w:sz w:val="22"/>
                <w:szCs w:val="22"/>
              </w:rPr>
              <w:lastRenderedPageBreak/>
              <w:t>ÁMBITO</w:t>
            </w:r>
            <w:r w:rsidR="00DF60FD" w:rsidRPr="009F7CED">
              <w:rPr>
                <w:rFonts w:cs="Arial"/>
                <w:b/>
                <w:color w:val="000000"/>
                <w:sz w:val="22"/>
                <w:szCs w:val="22"/>
              </w:rPr>
              <w:t xml:space="preserve"> DE APLICACIÓN Y SUJETO</w:t>
            </w:r>
            <w:r w:rsidR="00795C6B">
              <w:rPr>
                <w:rFonts w:cs="Arial"/>
                <w:b/>
                <w:color w:val="000000"/>
                <w:sz w:val="22"/>
                <w:szCs w:val="22"/>
              </w:rPr>
              <w:t>S</w:t>
            </w:r>
            <w:r w:rsidR="00DF60FD" w:rsidRPr="009F7CED">
              <w:rPr>
                <w:rFonts w:cs="Arial"/>
                <w:b/>
                <w:color w:val="000000"/>
                <w:sz w:val="22"/>
                <w:szCs w:val="22"/>
              </w:rPr>
              <w:t xml:space="preserve"> A QUIEN</w:t>
            </w:r>
            <w:r w:rsidR="00795C6B">
              <w:rPr>
                <w:rFonts w:cs="Arial"/>
                <w:b/>
                <w:color w:val="000000"/>
                <w:sz w:val="22"/>
                <w:szCs w:val="22"/>
              </w:rPr>
              <w:t>ES</w:t>
            </w:r>
            <w:r w:rsidR="00DF60FD" w:rsidRPr="009F7CED">
              <w:rPr>
                <w:rFonts w:cs="Arial"/>
                <w:b/>
                <w:color w:val="000000"/>
                <w:sz w:val="22"/>
                <w:szCs w:val="22"/>
              </w:rPr>
              <w:t xml:space="preserve"> VA DIRIGIDO</w:t>
            </w:r>
          </w:p>
          <w:p w14:paraId="1BBC7FC6" w14:textId="77777777" w:rsidR="00795C6B" w:rsidRPr="00795C6B" w:rsidRDefault="00696582" w:rsidP="0075705D">
            <w:pPr>
              <w:pStyle w:val="Listavistosa-nfasis11"/>
              <w:spacing w:line="240" w:lineRule="auto"/>
              <w:ind w:left="494"/>
              <w:jc w:val="both"/>
              <w:rPr>
                <w:rFonts w:ascii="Arial" w:hAnsi="Arial" w:cs="Arial"/>
                <w:i/>
                <w:color w:val="808080"/>
                <w:sz w:val="18"/>
              </w:rPr>
            </w:pPr>
            <w:r w:rsidRPr="00795C6B">
              <w:rPr>
                <w:rFonts w:ascii="Arial" w:hAnsi="Arial" w:cs="Arial"/>
                <w:i/>
                <w:color w:val="808080"/>
                <w:sz w:val="18"/>
              </w:rPr>
              <w:t xml:space="preserve"> </w:t>
            </w:r>
            <w:r w:rsidR="00795C6B" w:rsidRPr="00795C6B">
              <w:rPr>
                <w:rFonts w:ascii="Arial" w:hAnsi="Arial" w:cs="Arial"/>
                <w:i/>
                <w:color w:val="808080"/>
                <w:sz w:val="18"/>
              </w:rPr>
              <w:t>(Por favor indique el ámbito de aplicación o sujetos obligados de la norma)</w:t>
            </w:r>
          </w:p>
          <w:p w14:paraId="07332374" w14:textId="3059D861" w:rsidR="00D63D0C" w:rsidRDefault="00C307D7" w:rsidP="003B1067">
            <w:pPr>
              <w:jc w:val="both"/>
              <w:rPr>
                <w:rFonts w:cs="Arial"/>
                <w:color w:val="000000"/>
                <w:sz w:val="22"/>
                <w:szCs w:val="22"/>
              </w:rPr>
            </w:pPr>
            <w:r w:rsidRPr="00AC597C">
              <w:rPr>
                <w:rFonts w:cs="Arial"/>
                <w:color w:val="000000"/>
                <w:sz w:val="22"/>
                <w:szCs w:val="22"/>
              </w:rPr>
              <w:t>La presente resolución tiene como propósit</w:t>
            </w:r>
            <w:r w:rsidR="00D63D0C">
              <w:rPr>
                <w:rFonts w:cs="Arial"/>
                <w:color w:val="000000"/>
                <w:sz w:val="22"/>
                <w:szCs w:val="22"/>
              </w:rPr>
              <w:t>o definir los valores, así como</w:t>
            </w:r>
            <w:r w:rsidR="007B67A2">
              <w:rPr>
                <w:rFonts w:cs="Arial"/>
                <w:color w:val="000000"/>
                <w:sz w:val="22"/>
                <w:szCs w:val="22"/>
              </w:rPr>
              <w:t xml:space="preserve"> los cupos a: (I)</w:t>
            </w:r>
            <w:r w:rsidR="00D63D0C">
              <w:rPr>
                <w:rFonts w:cs="Arial"/>
                <w:color w:val="000000"/>
                <w:sz w:val="22"/>
                <w:szCs w:val="22"/>
              </w:rPr>
              <w:t xml:space="preserve"> </w:t>
            </w:r>
            <w:r w:rsidR="007B67A2">
              <w:rPr>
                <w:rFonts w:cs="Arial"/>
                <w:color w:val="000000"/>
                <w:sz w:val="22"/>
                <w:szCs w:val="22"/>
              </w:rPr>
              <w:t>L</w:t>
            </w:r>
            <w:r w:rsidR="00291518">
              <w:rPr>
                <w:rFonts w:cs="Arial"/>
                <w:color w:val="000000"/>
                <w:sz w:val="22"/>
                <w:szCs w:val="22"/>
              </w:rPr>
              <w:t>os entes</w:t>
            </w:r>
            <w:r w:rsidR="007B67A2">
              <w:rPr>
                <w:rFonts w:cs="Arial"/>
                <w:color w:val="000000"/>
                <w:sz w:val="22"/>
                <w:szCs w:val="22"/>
              </w:rPr>
              <w:t xml:space="preserve"> </w:t>
            </w:r>
            <w:r w:rsidR="00D63D0C">
              <w:rPr>
                <w:rFonts w:cs="Arial"/>
                <w:color w:val="000000"/>
                <w:sz w:val="22"/>
                <w:szCs w:val="22"/>
              </w:rPr>
              <w:t xml:space="preserve">territoriales, </w:t>
            </w:r>
            <w:r w:rsidR="007B67A2">
              <w:rPr>
                <w:rFonts w:cs="Arial"/>
                <w:color w:val="000000"/>
                <w:sz w:val="22"/>
                <w:szCs w:val="22"/>
              </w:rPr>
              <w:t>(II)</w:t>
            </w:r>
            <w:r w:rsidR="00D63D0C">
              <w:rPr>
                <w:rFonts w:cs="Arial"/>
                <w:color w:val="000000"/>
                <w:sz w:val="22"/>
                <w:szCs w:val="22"/>
              </w:rPr>
              <w:t xml:space="preserve">los beneficiarios del </w:t>
            </w:r>
            <w:r w:rsidR="00D07597">
              <w:rPr>
                <w:rFonts w:cs="Arial"/>
                <w:color w:val="000000"/>
                <w:sz w:val="22"/>
                <w:szCs w:val="22"/>
              </w:rPr>
              <w:t>p</w:t>
            </w:r>
            <w:r w:rsidR="00D63D0C">
              <w:rPr>
                <w:rFonts w:cs="Arial"/>
                <w:color w:val="000000"/>
                <w:sz w:val="22"/>
                <w:szCs w:val="22"/>
              </w:rPr>
              <w:t xml:space="preserve">rograma </w:t>
            </w:r>
            <w:r w:rsidR="00D63D0C">
              <w:rPr>
                <w:rFonts w:cs="Arial"/>
                <w:bCs/>
                <w:sz w:val="22"/>
                <w:szCs w:val="22"/>
              </w:rPr>
              <w:t>Colombia Mayor que resida en los</w:t>
            </w:r>
            <w:r w:rsidR="00D63D0C" w:rsidRPr="00560065">
              <w:rPr>
                <w:rFonts w:cs="Arial"/>
                <w:bCs/>
                <w:sz w:val="22"/>
                <w:szCs w:val="22"/>
              </w:rPr>
              <w:t xml:space="preserve"> Centros de Bienestar del Adulto Mayor o que asiste a centro </w:t>
            </w:r>
            <w:r w:rsidR="00D07597">
              <w:rPr>
                <w:rFonts w:cs="Arial"/>
                <w:bCs/>
                <w:sz w:val="22"/>
                <w:szCs w:val="22"/>
              </w:rPr>
              <w:t>d</w:t>
            </w:r>
            <w:r w:rsidR="00D63D0C" w:rsidRPr="00560065">
              <w:rPr>
                <w:rFonts w:cs="Arial"/>
                <w:bCs/>
                <w:sz w:val="22"/>
                <w:szCs w:val="22"/>
              </w:rPr>
              <w:t>iurno</w:t>
            </w:r>
            <w:r w:rsidR="00D63D0C">
              <w:rPr>
                <w:rFonts w:cs="Arial"/>
                <w:bCs/>
                <w:sz w:val="22"/>
                <w:szCs w:val="22"/>
              </w:rPr>
              <w:t xml:space="preserve"> y las</w:t>
            </w:r>
            <w:r w:rsidR="00D63D0C">
              <w:rPr>
                <w:rFonts w:cs="Arial"/>
                <w:color w:val="000000"/>
                <w:sz w:val="22"/>
                <w:szCs w:val="22"/>
              </w:rPr>
              <w:t xml:space="preserve"> </w:t>
            </w:r>
            <w:r w:rsidR="007B67A2">
              <w:rPr>
                <w:rFonts w:cs="Arial"/>
                <w:color w:val="000000"/>
                <w:sz w:val="22"/>
                <w:szCs w:val="22"/>
              </w:rPr>
              <w:t xml:space="preserve">(III) </w:t>
            </w:r>
            <w:r w:rsidR="00D63D0C">
              <w:rPr>
                <w:rFonts w:cs="Arial"/>
                <w:color w:val="000000"/>
                <w:sz w:val="22"/>
                <w:szCs w:val="22"/>
              </w:rPr>
              <w:t>e</w:t>
            </w:r>
            <w:r w:rsidR="00D63D0C">
              <w:rPr>
                <w:rFonts w:cs="Arial"/>
                <w:bCs/>
                <w:sz w:val="22"/>
                <w:szCs w:val="22"/>
              </w:rPr>
              <w:t xml:space="preserve">ntidades </w:t>
            </w:r>
            <w:r w:rsidR="00D63D0C" w:rsidRPr="00560065">
              <w:rPr>
                <w:rFonts w:cs="Arial"/>
                <w:bCs/>
                <w:sz w:val="22"/>
                <w:szCs w:val="22"/>
              </w:rPr>
              <w:t xml:space="preserve">territoriales, </w:t>
            </w:r>
            <w:r w:rsidR="00D63D0C">
              <w:rPr>
                <w:rFonts w:cs="Arial"/>
                <w:bCs/>
                <w:sz w:val="22"/>
                <w:szCs w:val="22"/>
              </w:rPr>
              <w:t xml:space="preserve">cuya población beneficiaria </w:t>
            </w:r>
            <w:r w:rsidR="007B67A2">
              <w:rPr>
                <w:rFonts w:cs="Arial"/>
                <w:bCs/>
                <w:sz w:val="22"/>
                <w:szCs w:val="22"/>
              </w:rPr>
              <w:t xml:space="preserve">es referida a </w:t>
            </w:r>
            <w:r w:rsidR="00D63D0C" w:rsidRPr="00560065">
              <w:rPr>
                <w:rFonts w:cs="Arial"/>
                <w:bCs/>
                <w:sz w:val="22"/>
                <w:szCs w:val="22"/>
              </w:rPr>
              <w:t xml:space="preserve">la población </w:t>
            </w:r>
            <w:r w:rsidR="00D63D0C">
              <w:rPr>
                <w:rFonts w:cs="Arial"/>
                <w:bCs/>
                <w:sz w:val="22"/>
                <w:szCs w:val="22"/>
              </w:rPr>
              <w:t>indígena</w:t>
            </w:r>
            <w:r w:rsidR="00D63D0C" w:rsidRPr="00560065">
              <w:rPr>
                <w:rFonts w:cs="Arial"/>
                <w:bCs/>
                <w:sz w:val="22"/>
                <w:szCs w:val="22"/>
              </w:rPr>
              <w:t xml:space="preserve"> residente en resguardo</w:t>
            </w:r>
            <w:r w:rsidR="00D63D0C">
              <w:rPr>
                <w:rFonts w:cs="Arial"/>
                <w:bCs/>
                <w:sz w:val="22"/>
                <w:szCs w:val="22"/>
              </w:rPr>
              <w:t>.</w:t>
            </w:r>
          </w:p>
          <w:p w14:paraId="59347ADB" w14:textId="3AE9293A" w:rsidR="00134B8C" w:rsidRPr="009F7CED" w:rsidRDefault="00134B8C" w:rsidP="0045028F">
            <w:pPr>
              <w:jc w:val="both"/>
              <w:rPr>
                <w:rFonts w:cs="Arial"/>
                <w:iCs/>
                <w:color w:val="000000"/>
                <w:sz w:val="22"/>
                <w:szCs w:val="22"/>
              </w:rPr>
            </w:pPr>
          </w:p>
        </w:tc>
      </w:tr>
      <w:tr w:rsidR="00DF60FD" w:rsidRPr="009F7CED" w14:paraId="5FEC9A18" w14:textId="77777777" w:rsidTr="0075705D">
        <w:trPr>
          <w:trHeight w:val="278"/>
        </w:trPr>
        <w:tc>
          <w:tcPr>
            <w:tcW w:w="10774" w:type="dxa"/>
            <w:gridSpan w:val="3"/>
            <w:tcBorders>
              <w:bottom w:val="single" w:sz="4" w:space="0" w:color="auto"/>
            </w:tcBorders>
            <w:shd w:val="clear" w:color="auto" w:fill="FFFFFF"/>
            <w:vAlign w:val="center"/>
          </w:tcPr>
          <w:p w14:paraId="1437D73E" w14:textId="77777777" w:rsidR="00DF60FD" w:rsidRDefault="00795C6B" w:rsidP="0075705D">
            <w:pPr>
              <w:ind w:left="494" w:hanging="283"/>
              <w:rPr>
                <w:rFonts w:cs="Arial"/>
                <w:b/>
                <w:color w:val="000000"/>
                <w:sz w:val="22"/>
                <w:szCs w:val="22"/>
              </w:rPr>
            </w:pPr>
            <w:r>
              <w:rPr>
                <w:rFonts w:cs="Arial"/>
                <w:b/>
                <w:color w:val="000000"/>
                <w:sz w:val="22"/>
                <w:szCs w:val="22"/>
              </w:rPr>
              <w:t xml:space="preserve">3. </w:t>
            </w:r>
            <w:r w:rsidR="00DF60FD" w:rsidRPr="009F7CED">
              <w:rPr>
                <w:rFonts w:cs="Arial"/>
                <w:b/>
                <w:color w:val="000000"/>
                <w:sz w:val="22"/>
                <w:szCs w:val="22"/>
              </w:rPr>
              <w:t>VIABILIDAD JURÍDICA</w:t>
            </w:r>
          </w:p>
          <w:p w14:paraId="3D491A59" w14:textId="77777777" w:rsidR="00D05B67" w:rsidRPr="00084B49" w:rsidRDefault="00D05B67" w:rsidP="0075705D">
            <w:pPr>
              <w:ind w:left="494" w:hanging="283"/>
              <w:rPr>
                <w:rFonts w:cs="Arial"/>
                <w:i/>
                <w:color w:val="808080"/>
                <w:sz w:val="18"/>
                <w:szCs w:val="22"/>
              </w:rPr>
            </w:pPr>
            <w:r w:rsidRPr="00084B49">
              <w:rPr>
                <w:rFonts w:cs="Arial"/>
                <w:i/>
                <w:color w:val="808080"/>
                <w:sz w:val="18"/>
                <w:szCs w:val="22"/>
              </w:rPr>
              <w:t>(Por favor desarrolle cada uno de los siguientes puntos)</w:t>
            </w:r>
          </w:p>
          <w:p w14:paraId="3884A458" w14:textId="77777777" w:rsidR="00D05B67" w:rsidRPr="00084B49" w:rsidRDefault="00D05B67" w:rsidP="0075705D">
            <w:pPr>
              <w:ind w:left="494" w:hanging="283"/>
              <w:rPr>
                <w:rFonts w:cs="Arial"/>
                <w:i/>
                <w:color w:val="808080"/>
                <w:sz w:val="22"/>
                <w:szCs w:val="22"/>
              </w:rPr>
            </w:pPr>
          </w:p>
          <w:p w14:paraId="64B3232C" w14:textId="00514DB7" w:rsidR="007B67A2" w:rsidRPr="007B67A2" w:rsidRDefault="00795C6B" w:rsidP="007B67A2">
            <w:pPr>
              <w:ind w:left="494" w:hanging="283"/>
              <w:jc w:val="both"/>
              <w:rPr>
                <w:rFonts w:cs="Arial"/>
                <w:sz w:val="22"/>
                <w:szCs w:val="22"/>
                <w:lang w:val="es-CO" w:eastAsia="es-CO"/>
              </w:rPr>
            </w:pPr>
            <w:r>
              <w:rPr>
                <w:rFonts w:cs="Arial"/>
                <w:sz w:val="22"/>
                <w:szCs w:val="22"/>
                <w:lang w:val="es-CO" w:eastAsia="es-CO"/>
              </w:rPr>
              <w:t>3.1 Análisis de las normas que otorgan la competencia para la expedición del proyecto normativ</w:t>
            </w:r>
            <w:r w:rsidR="007B67A2">
              <w:rPr>
                <w:rFonts w:cs="Arial"/>
                <w:sz w:val="22"/>
                <w:szCs w:val="22"/>
                <w:lang w:val="es-CO" w:eastAsia="es-CO"/>
              </w:rPr>
              <w:t>a</w:t>
            </w:r>
          </w:p>
          <w:p w14:paraId="5227BFDC" w14:textId="3F0B74B5"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lastRenderedPageBreak/>
              <w:t xml:space="preserve">Ley 100 de 1993. </w:t>
            </w:r>
            <w:r w:rsidRPr="00291518">
              <w:rPr>
                <w:rFonts w:ascii="Verdana" w:hAnsi="Verdana"/>
                <w:sz w:val="20"/>
                <w:szCs w:val="20"/>
              </w:rPr>
              <w:t xml:space="preserve">Por la cual </w:t>
            </w:r>
            <w:r w:rsidR="00405621">
              <w:rPr>
                <w:rFonts w:ascii="Verdana" w:hAnsi="Verdana"/>
                <w:sz w:val="20"/>
                <w:szCs w:val="20"/>
              </w:rPr>
              <w:t>por medio</w:t>
            </w:r>
            <w:r w:rsidR="00D95604">
              <w:rPr>
                <w:rFonts w:ascii="Verdana" w:hAnsi="Verdana"/>
                <w:sz w:val="20"/>
                <w:szCs w:val="20"/>
              </w:rPr>
              <w:t xml:space="preserve"> de su artículo 25 se </w:t>
            </w:r>
            <w:r w:rsidR="00D95604" w:rsidRPr="00D95604">
              <w:rPr>
                <w:rFonts w:ascii="Verdana" w:hAnsi="Verdana"/>
                <w:sz w:val="20"/>
                <w:szCs w:val="20"/>
              </w:rPr>
              <w:t>creó el Fondo de Solidaridad Pensional</w:t>
            </w:r>
          </w:p>
          <w:p w14:paraId="59F83582" w14:textId="704D797E"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Ley 797 de 2003</w:t>
            </w:r>
            <w:r w:rsidR="00405621">
              <w:rPr>
                <w:rFonts w:ascii="Verdana" w:hAnsi="Verdana"/>
                <w:b/>
                <w:bCs/>
                <w:sz w:val="20"/>
                <w:szCs w:val="20"/>
              </w:rPr>
              <w:t>,</w:t>
            </w:r>
            <w:r w:rsidRPr="00291518">
              <w:rPr>
                <w:rFonts w:ascii="Verdana" w:hAnsi="Verdana"/>
                <w:b/>
                <w:bCs/>
                <w:sz w:val="20"/>
                <w:szCs w:val="20"/>
              </w:rPr>
              <w:t xml:space="preserve"> </w:t>
            </w:r>
            <w:r w:rsidR="00405621">
              <w:rPr>
                <w:rFonts w:ascii="Verdana" w:hAnsi="Verdana"/>
                <w:b/>
                <w:bCs/>
                <w:sz w:val="20"/>
                <w:szCs w:val="20"/>
              </w:rPr>
              <w:t>a</w:t>
            </w:r>
            <w:r w:rsidRPr="00291518">
              <w:rPr>
                <w:rFonts w:ascii="Verdana" w:hAnsi="Verdana"/>
                <w:b/>
                <w:bCs/>
                <w:sz w:val="20"/>
                <w:szCs w:val="20"/>
              </w:rPr>
              <w:t xml:space="preserve">rtículo 2. </w:t>
            </w:r>
            <w:r w:rsidR="00D95604" w:rsidRPr="00D95604">
              <w:rPr>
                <w:rFonts w:ascii="Verdana" w:hAnsi="Verdana"/>
                <w:sz w:val="20"/>
                <w:szCs w:val="20"/>
              </w:rPr>
              <w:t>modificó el literal i) del artículo 13 de la Ley 100 de 1993, creando la subcuenta de subsistencia del Fondo de Solidaridad Pensional, destinada a la protección de las personas en estado de indigencia o de pobreza extrema, mediante el otorgamiento de un subsidio económico que se entrega por medio del programa de Protección Social al Adulto Mayor, hoy Colombia Mayor.</w:t>
            </w:r>
          </w:p>
          <w:p w14:paraId="2229AD38" w14:textId="35F4B8E9"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 xml:space="preserve">Conpes 70 de 2003. </w:t>
            </w:r>
            <w:r w:rsidRPr="00291518">
              <w:rPr>
                <w:rFonts w:ascii="Verdana" w:hAnsi="Verdana"/>
                <w:sz w:val="20"/>
                <w:szCs w:val="20"/>
              </w:rPr>
              <w:t xml:space="preserve">Por </w:t>
            </w:r>
            <w:r w:rsidR="00405621">
              <w:rPr>
                <w:rFonts w:ascii="Verdana" w:hAnsi="Verdana"/>
                <w:sz w:val="20"/>
                <w:szCs w:val="20"/>
              </w:rPr>
              <w:t>medio d</w:t>
            </w:r>
            <w:r w:rsidRPr="00291518">
              <w:rPr>
                <w:rFonts w:ascii="Verdana" w:hAnsi="Verdana"/>
                <w:sz w:val="20"/>
                <w:szCs w:val="20"/>
              </w:rPr>
              <w:t>el cual se formula el nuevo papel del Fondo de Solidaridad Pensional.</w:t>
            </w:r>
          </w:p>
          <w:p w14:paraId="33E713E3" w14:textId="47AEFDD2"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 xml:space="preserve">Conpes 78 de 2004. </w:t>
            </w:r>
            <w:r w:rsidRPr="00291518">
              <w:rPr>
                <w:rFonts w:ascii="Verdana" w:hAnsi="Verdana"/>
                <w:sz w:val="20"/>
                <w:szCs w:val="20"/>
              </w:rPr>
              <w:t xml:space="preserve">Por </w:t>
            </w:r>
            <w:r w:rsidR="00405621">
              <w:rPr>
                <w:rFonts w:ascii="Verdana" w:hAnsi="Verdana"/>
                <w:sz w:val="20"/>
                <w:szCs w:val="20"/>
              </w:rPr>
              <w:t>medio d</w:t>
            </w:r>
            <w:r w:rsidRPr="00291518">
              <w:rPr>
                <w:rFonts w:ascii="Verdana" w:hAnsi="Verdana"/>
                <w:sz w:val="20"/>
                <w:szCs w:val="20"/>
              </w:rPr>
              <w:t>el cual se realizan ajustes a los requisitos del Programa de Protección Social al Adulto Mayor Subcuenta de Subsistencia – Fondo de Solidaridad Pensional.</w:t>
            </w:r>
          </w:p>
          <w:p w14:paraId="755A4096" w14:textId="46F159AE"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 xml:space="preserve">Conpes 100 de 2006. </w:t>
            </w:r>
            <w:r w:rsidRPr="00291518">
              <w:rPr>
                <w:rFonts w:ascii="Verdana" w:hAnsi="Verdana"/>
                <w:sz w:val="20"/>
                <w:szCs w:val="20"/>
              </w:rPr>
              <w:t xml:space="preserve">Por </w:t>
            </w:r>
            <w:r w:rsidR="00405621">
              <w:rPr>
                <w:rFonts w:ascii="Verdana" w:hAnsi="Verdana"/>
                <w:sz w:val="20"/>
                <w:szCs w:val="20"/>
              </w:rPr>
              <w:t>medio d</w:t>
            </w:r>
            <w:r w:rsidRPr="00291518">
              <w:rPr>
                <w:rFonts w:ascii="Verdana" w:hAnsi="Verdana"/>
                <w:sz w:val="20"/>
                <w:szCs w:val="20"/>
              </w:rPr>
              <w:t>el cual se establecen lineamientos para la Focalización del Gasto Público Social.</w:t>
            </w:r>
          </w:p>
          <w:p w14:paraId="226C9E99" w14:textId="60F9A9B2"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 xml:space="preserve">Decreto 3771 de 2007. </w:t>
            </w:r>
            <w:r w:rsidRPr="00291518">
              <w:rPr>
                <w:rFonts w:ascii="Verdana" w:hAnsi="Verdana"/>
                <w:sz w:val="20"/>
                <w:szCs w:val="20"/>
              </w:rPr>
              <w:t xml:space="preserve">Por </w:t>
            </w:r>
            <w:r w:rsidR="00405621">
              <w:rPr>
                <w:rFonts w:ascii="Verdana" w:hAnsi="Verdana"/>
                <w:sz w:val="20"/>
                <w:szCs w:val="20"/>
              </w:rPr>
              <w:t>medio d</w:t>
            </w:r>
            <w:r w:rsidRPr="00291518">
              <w:rPr>
                <w:rFonts w:ascii="Verdana" w:hAnsi="Verdana"/>
                <w:sz w:val="20"/>
                <w:szCs w:val="20"/>
              </w:rPr>
              <w:t>el cual se reglamenta la administración y el funcionamiento del Fondo de Solidaridad Pensional.</w:t>
            </w:r>
          </w:p>
          <w:p w14:paraId="3C0D20D5" w14:textId="4A6B0E6B"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 xml:space="preserve">Conpes 105 de 2007. </w:t>
            </w:r>
            <w:r w:rsidRPr="00291518">
              <w:rPr>
                <w:rFonts w:ascii="Verdana" w:hAnsi="Verdana"/>
                <w:sz w:val="20"/>
                <w:szCs w:val="20"/>
              </w:rPr>
              <w:t xml:space="preserve">Por </w:t>
            </w:r>
            <w:r w:rsidR="00405621">
              <w:rPr>
                <w:rFonts w:ascii="Verdana" w:hAnsi="Verdana"/>
                <w:sz w:val="20"/>
                <w:szCs w:val="20"/>
              </w:rPr>
              <w:t>medio d</w:t>
            </w:r>
            <w:r w:rsidRPr="00291518">
              <w:rPr>
                <w:rFonts w:ascii="Verdana" w:hAnsi="Verdana"/>
                <w:sz w:val="20"/>
                <w:szCs w:val="20"/>
              </w:rPr>
              <w:t>el cual se amplía la cobertura y se hacen ajustes en los requisitos y operación del Fondo de Solidaridad Pensional: ampliación de cobertura y ajustes en los requisitos y operación.</w:t>
            </w:r>
          </w:p>
          <w:p w14:paraId="5EB16FA2" w14:textId="205B7AB9"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 xml:space="preserve">Decreto 3771 de 2007. </w:t>
            </w:r>
            <w:r w:rsidRPr="00291518">
              <w:rPr>
                <w:rFonts w:ascii="Verdana" w:hAnsi="Verdana"/>
                <w:sz w:val="20"/>
                <w:szCs w:val="20"/>
              </w:rPr>
              <w:t xml:space="preserve">Por </w:t>
            </w:r>
            <w:r w:rsidR="00405621">
              <w:rPr>
                <w:rFonts w:ascii="Verdana" w:hAnsi="Verdana"/>
                <w:sz w:val="20"/>
                <w:szCs w:val="20"/>
              </w:rPr>
              <w:t>medio d</w:t>
            </w:r>
            <w:r w:rsidRPr="00291518">
              <w:rPr>
                <w:rFonts w:ascii="Verdana" w:hAnsi="Verdana"/>
                <w:sz w:val="20"/>
                <w:szCs w:val="20"/>
              </w:rPr>
              <w:t>el cual se reglamenta la administración y el funcionamiento del Fondo de Solidaridad Pensional</w:t>
            </w:r>
          </w:p>
          <w:p w14:paraId="5814750A" w14:textId="1DAB05DA"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 xml:space="preserve">Decreto 2963 de 2008. </w:t>
            </w:r>
            <w:r w:rsidRPr="00291518">
              <w:rPr>
                <w:rFonts w:ascii="Verdana" w:hAnsi="Verdana"/>
                <w:sz w:val="20"/>
                <w:szCs w:val="20"/>
              </w:rPr>
              <w:t xml:space="preserve">Por </w:t>
            </w:r>
            <w:r w:rsidR="00405621">
              <w:rPr>
                <w:rFonts w:ascii="Verdana" w:hAnsi="Verdana"/>
                <w:sz w:val="20"/>
                <w:szCs w:val="20"/>
              </w:rPr>
              <w:t>medio d</w:t>
            </w:r>
            <w:r w:rsidRPr="00291518">
              <w:rPr>
                <w:rFonts w:ascii="Verdana" w:hAnsi="Verdana"/>
                <w:sz w:val="20"/>
                <w:szCs w:val="20"/>
              </w:rPr>
              <w:t>el cual se modifican los artículos 30 y 31 del Decreto 3771 de 2007.</w:t>
            </w:r>
          </w:p>
          <w:p w14:paraId="23DADCA6" w14:textId="52CED343"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 xml:space="preserve">Decreto 3550 de 2008. </w:t>
            </w:r>
            <w:r w:rsidRPr="00291518">
              <w:rPr>
                <w:rFonts w:ascii="Verdana" w:hAnsi="Verdana"/>
                <w:sz w:val="20"/>
                <w:szCs w:val="20"/>
              </w:rPr>
              <w:t xml:space="preserve">Por </w:t>
            </w:r>
            <w:r w:rsidR="00405621">
              <w:rPr>
                <w:rFonts w:ascii="Verdana" w:hAnsi="Verdana"/>
                <w:sz w:val="20"/>
                <w:szCs w:val="20"/>
              </w:rPr>
              <w:t>medio d</w:t>
            </w:r>
            <w:r w:rsidRPr="00291518">
              <w:rPr>
                <w:rFonts w:ascii="Verdana" w:hAnsi="Verdana"/>
                <w:sz w:val="20"/>
                <w:szCs w:val="20"/>
              </w:rPr>
              <w:t>el cual se modifica el artículo 31 del Decreto 3771 de 2007.</w:t>
            </w:r>
          </w:p>
          <w:p w14:paraId="1E4F81E1" w14:textId="53F1E367"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 xml:space="preserve">Decreto 4943 de 2009. </w:t>
            </w:r>
            <w:r w:rsidRPr="00291518">
              <w:rPr>
                <w:rFonts w:ascii="Verdana" w:hAnsi="Verdana"/>
                <w:sz w:val="20"/>
                <w:szCs w:val="20"/>
              </w:rPr>
              <w:t xml:space="preserve">Por </w:t>
            </w:r>
            <w:r w:rsidR="00405621">
              <w:rPr>
                <w:rFonts w:ascii="Verdana" w:hAnsi="Verdana"/>
                <w:sz w:val="20"/>
                <w:szCs w:val="20"/>
              </w:rPr>
              <w:t>medio d</w:t>
            </w:r>
            <w:r w:rsidRPr="00291518">
              <w:rPr>
                <w:rFonts w:ascii="Verdana" w:hAnsi="Verdana"/>
                <w:sz w:val="20"/>
                <w:szCs w:val="20"/>
              </w:rPr>
              <w:t>el cual se modifican los artículos 30 y 33 del Decreto 3771 de 2007.</w:t>
            </w:r>
          </w:p>
          <w:p w14:paraId="6B3669B4" w14:textId="293F5603"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 xml:space="preserve">Decreto Ley 019 de 2012. </w:t>
            </w:r>
            <w:r w:rsidRPr="00291518">
              <w:rPr>
                <w:rFonts w:ascii="Verdana" w:hAnsi="Verdana"/>
                <w:sz w:val="20"/>
                <w:szCs w:val="20"/>
              </w:rPr>
              <w:t xml:space="preserve">Por </w:t>
            </w:r>
            <w:r w:rsidR="00405621">
              <w:rPr>
                <w:rFonts w:ascii="Verdana" w:hAnsi="Verdana"/>
                <w:sz w:val="20"/>
                <w:szCs w:val="20"/>
              </w:rPr>
              <w:t>medio d</w:t>
            </w:r>
            <w:r w:rsidRPr="00291518">
              <w:rPr>
                <w:rFonts w:ascii="Verdana" w:hAnsi="Verdana"/>
                <w:sz w:val="20"/>
                <w:szCs w:val="20"/>
              </w:rPr>
              <w:t>el cual se dictan normas para suprimir o reformar regulaciones, procedimientos y trámites innecesarios existentes en la Administración Pública.</w:t>
            </w:r>
          </w:p>
          <w:p w14:paraId="21821DD9" w14:textId="1E4C9A61"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 xml:space="preserve">Resolución 1370 de 2013. </w:t>
            </w:r>
            <w:r w:rsidRPr="00291518">
              <w:rPr>
                <w:rFonts w:ascii="Verdana" w:hAnsi="Verdana"/>
                <w:sz w:val="20"/>
                <w:szCs w:val="20"/>
              </w:rPr>
              <w:t xml:space="preserve">Por </w:t>
            </w:r>
            <w:r w:rsidR="00405621">
              <w:rPr>
                <w:rFonts w:ascii="Verdana" w:hAnsi="Verdana"/>
                <w:sz w:val="20"/>
                <w:szCs w:val="20"/>
              </w:rPr>
              <w:t xml:space="preserve">medio de </w:t>
            </w:r>
            <w:r w:rsidRPr="00291518">
              <w:rPr>
                <w:rFonts w:ascii="Verdana" w:hAnsi="Verdana"/>
                <w:sz w:val="20"/>
                <w:szCs w:val="20"/>
              </w:rPr>
              <w:t xml:space="preserve">la cual se actualiza el Manual Operativo del </w:t>
            </w:r>
            <w:r w:rsidR="00405621">
              <w:rPr>
                <w:rFonts w:ascii="Verdana" w:hAnsi="Verdana"/>
                <w:sz w:val="20"/>
                <w:szCs w:val="20"/>
              </w:rPr>
              <w:t>p</w:t>
            </w:r>
            <w:r w:rsidRPr="00291518">
              <w:rPr>
                <w:rFonts w:ascii="Verdana" w:hAnsi="Verdana"/>
                <w:sz w:val="20"/>
                <w:szCs w:val="20"/>
              </w:rPr>
              <w:t>rograma de Protección Social al Adulto Mayor, hoy Colombia Mayor.</w:t>
            </w:r>
          </w:p>
          <w:p w14:paraId="323F872F" w14:textId="77777777"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 xml:space="preserve">Ley 691 de 2001. </w:t>
            </w:r>
            <w:r w:rsidRPr="00291518">
              <w:rPr>
                <w:rFonts w:ascii="Verdana" w:hAnsi="Verdana"/>
                <w:sz w:val="20"/>
                <w:szCs w:val="20"/>
              </w:rPr>
              <w:t>Mediante la cual se reglamenta la participación de los Grupos Étnicos en el Sistema General de Seguridad Social en Colombia.</w:t>
            </w:r>
          </w:p>
          <w:p w14:paraId="073C2208" w14:textId="2FE87270" w:rsidR="00291518" w:rsidRPr="00291518" w:rsidRDefault="00291518" w:rsidP="00AB73D2">
            <w:pPr>
              <w:pStyle w:val="NormalWeb"/>
              <w:numPr>
                <w:ilvl w:val="0"/>
                <w:numId w:val="4"/>
              </w:numPr>
              <w:rPr>
                <w:rFonts w:ascii="Verdana" w:hAnsi="Verdana"/>
                <w:b/>
                <w:bCs/>
                <w:sz w:val="20"/>
                <w:szCs w:val="20"/>
              </w:rPr>
            </w:pPr>
            <w:r w:rsidRPr="00291518">
              <w:rPr>
                <w:rFonts w:ascii="Verdana" w:hAnsi="Verdana"/>
                <w:b/>
                <w:bCs/>
                <w:sz w:val="20"/>
                <w:szCs w:val="20"/>
              </w:rPr>
              <w:t>Decreto 458 de 2020.</w:t>
            </w:r>
            <w:r w:rsidRPr="00291518">
              <w:rPr>
                <w:rFonts w:ascii="Verdana" w:hAnsi="Verdana"/>
                <w:sz w:val="20"/>
                <w:szCs w:val="20"/>
              </w:rPr>
              <w:t xml:space="preserve"> Por </w:t>
            </w:r>
            <w:r w:rsidR="00405621">
              <w:rPr>
                <w:rFonts w:ascii="Verdana" w:hAnsi="Verdana"/>
                <w:sz w:val="20"/>
                <w:szCs w:val="20"/>
              </w:rPr>
              <w:t>medio d</w:t>
            </w:r>
            <w:r w:rsidRPr="00291518">
              <w:rPr>
                <w:rFonts w:ascii="Verdana" w:hAnsi="Verdana"/>
                <w:sz w:val="20"/>
                <w:szCs w:val="20"/>
              </w:rPr>
              <w:t>el cual se adoptan medidas para los hogares en condición de pobreza en todo el territorio nacional, dentro del Estado de Emergencia Económica, Social y Ecológica.</w:t>
            </w:r>
          </w:p>
          <w:p w14:paraId="28F24687" w14:textId="1995DAF7" w:rsidR="00291518" w:rsidRPr="00291518" w:rsidRDefault="00291518" w:rsidP="00AB73D2">
            <w:pPr>
              <w:pStyle w:val="NormalWeb"/>
              <w:numPr>
                <w:ilvl w:val="0"/>
                <w:numId w:val="4"/>
              </w:numPr>
              <w:rPr>
                <w:rFonts w:ascii="Verdana" w:hAnsi="Verdana"/>
                <w:sz w:val="20"/>
                <w:szCs w:val="20"/>
              </w:rPr>
            </w:pPr>
            <w:r w:rsidRPr="00291518">
              <w:rPr>
                <w:rFonts w:ascii="Verdana" w:hAnsi="Verdana"/>
                <w:b/>
                <w:bCs/>
                <w:sz w:val="20"/>
                <w:szCs w:val="20"/>
              </w:rPr>
              <w:t xml:space="preserve">Decreto 417 de 2020. </w:t>
            </w:r>
            <w:r w:rsidRPr="00291518">
              <w:rPr>
                <w:rFonts w:ascii="Verdana" w:hAnsi="Verdana"/>
                <w:sz w:val="20"/>
                <w:szCs w:val="20"/>
              </w:rPr>
              <w:t xml:space="preserve">Por </w:t>
            </w:r>
            <w:r w:rsidR="00405621">
              <w:rPr>
                <w:rFonts w:ascii="Verdana" w:hAnsi="Verdana"/>
                <w:sz w:val="20"/>
                <w:szCs w:val="20"/>
              </w:rPr>
              <w:t>medio d</w:t>
            </w:r>
            <w:r w:rsidRPr="00291518">
              <w:rPr>
                <w:rFonts w:ascii="Verdana" w:hAnsi="Verdana"/>
                <w:sz w:val="20"/>
                <w:szCs w:val="20"/>
              </w:rPr>
              <w:t>el cual se declara un Estado de Emergencia Económica, Social y Ecológica en todo el territorio Nacional.</w:t>
            </w:r>
          </w:p>
          <w:p w14:paraId="718876AA" w14:textId="4E0B13D7" w:rsidR="00291518" w:rsidRPr="00291518" w:rsidRDefault="00291518" w:rsidP="00AB73D2">
            <w:pPr>
              <w:pStyle w:val="NormalWeb"/>
              <w:numPr>
                <w:ilvl w:val="0"/>
                <w:numId w:val="4"/>
              </w:numPr>
              <w:rPr>
                <w:rFonts w:ascii="Verdana" w:hAnsi="Verdana"/>
                <w:sz w:val="20"/>
                <w:szCs w:val="20"/>
              </w:rPr>
            </w:pPr>
            <w:r w:rsidRPr="00291518">
              <w:rPr>
                <w:rFonts w:ascii="Verdana" w:hAnsi="Verdana"/>
                <w:b/>
                <w:bCs/>
                <w:sz w:val="20"/>
                <w:szCs w:val="20"/>
              </w:rPr>
              <w:t xml:space="preserve">Decreto 812 de 2020. </w:t>
            </w:r>
            <w:r w:rsidRPr="00291518">
              <w:rPr>
                <w:rFonts w:ascii="Verdana" w:hAnsi="Verdana"/>
                <w:sz w:val="20"/>
                <w:szCs w:val="20"/>
              </w:rPr>
              <w:t xml:space="preserve">Por </w:t>
            </w:r>
            <w:r w:rsidR="00405621">
              <w:rPr>
                <w:rFonts w:ascii="Verdana" w:hAnsi="Verdana"/>
                <w:sz w:val="20"/>
                <w:szCs w:val="20"/>
              </w:rPr>
              <w:t>medio d</w:t>
            </w:r>
            <w:r w:rsidRPr="00291518">
              <w:rPr>
                <w:rFonts w:ascii="Verdana" w:hAnsi="Verdana"/>
                <w:sz w:val="20"/>
                <w:szCs w:val="20"/>
              </w:rPr>
              <w:t xml:space="preserve">el cual </w:t>
            </w:r>
            <w:r w:rsidR="00D95604">
              <w:rPr>
                <w:rFonts w:ascii="Verdana" w:hAnsi="Verdana"/>
                <w:sz w:val="20"/>
                <w:szCs w:val="20"/>
              </w:rPr>
              <w:t xml:space="preserve">a través del </w:t>
            </w:r>
            <w:r w:rsidR="00D95604" w:rsidRPr="00D95604">
              <w:rPr>
                <w:rFonts w:ascii="Verdana" w:hAnsi="Verdana"/>
                <w:sz w:val="20"/>
                <w:szCs w:val="20"/>
              </w:rPr>
              <w:t xml:space="preserve">parágrafo 2 del artículo 5 </w:t>
            </w:r>
            <w:r w:rsidR="00D95604">
              <w:rPr>
                <w:rFonts w:ascii="Verdana" w:hAnsi="Verdana"/>
                <w:sz w:val="20"/>
                <w:szCs w:val="20"/>
              </w:rPr>
              <w:t xml:space="preserve">se </w:t>
            </w:r>
            <w:r w:rsidR="00D95604" w:rsidRPr="00D95604">
              <w:rPr>
                <w:rFonts w:ascii="Verdana" w:hAnsi="Verdana"/>
                <w:sz w:val="20"/>
                <w:szCs w:val="20"/>
              </w:rPr>
              <w:t>determinó como administrador y operador del programa de Protección Social al Adulto Mayor - Colombia Mayor-, al Departamento Administrativo para la Prosperidad Socia</w:t>
            </w:r>
            <w:r w:rsidR="00D95604">
              <w:rPr>
                <w:rFonts w:ascii="Verdana" w:hAnsi="Verdana"/>
                <w:sz w:val="20"/>
                <w:szCs w:val="20"/>
              </w:rPr>
              <w:t>l</w:t>
            </w:r>
            <w:r w:rsidR="00D95604" w:rsidRPr="00D95604">
              <w:rPr>
                <w:rFonts w:ascii="Verdana" w:hAnsi="Verdana"/>
                <w:sz w:val="20"/>
                <w:szCs w:val="20"/>
              </w:rPr>
              <w:t>.</w:t>
            </w:r>
          </w:p>
          <w:p w14:paraId="1B3D5EDB" w14:textId="4163A12C" w:rsidR="00291518" w:rsidRPr="00291518" w:rsidRDefault="00291518" w:rsidP="00CF2876">
            <w:pPr>
              <w:pStyle w:val="NormalWeb"/>
              <w:numPr>
                <w:ilvl w:val="0"/>
                <w:numId w:val="4"/>
              </w:numPr>
              <w:jc w:val="both"/>
              <w:rPr>
                <w:rFonts w:ascii="Verdana" w:hAnsi="Verdana"/>
                <w:b/>
                <w:bCs/>
                <w:sz w:val="20"/>
                <w:szCs w:val="20"/>
              </w:rPr>
            </w:pPr>
            <w:r w:rsidRPr="00291518">
              <w:rPr>
                <w:rFonts w:ascii="Verdana" w:hAnsi="Verdana"/>
                <w:b/>
                <w:bCs/>
                <w:sz w:val="20"/>
                <w:szCs w:val="20"/>
              </w:rPr>
              <w:t xml:space="preserve">Decreto 814 de 2020. </w:t>
            </w:r>
            <w:r w:rsidRPr="00291518">
              <w:rPr>
                <w:rFonts w:ascii="Verdana" w:hAnsi="Verdana"/>
                <w:sz w:val="20"/>
                <w:szCs w:val="20"/>
              </w:rPr>
              <w:t xml:space="preserve">Por </w:t>
            </w:r>
            <w:r w:rsidR="00405621">
              <w:rPr>
                <w:rFonts w:ascii="Verdana" w:hAnsi="Verdana"/>
                <w:sz w:val="20"/>
                <w:szCs w:val="20"/>
              </w:rPr>
              <w:t>medio d</w:t>
            </w:r>
            <w:r w:rsidRPr="00291518">
              <w:rPr>
                <w:rFonts w:ascii="Verdana" w:hAnsi="Verdana"/>
                <w:sz w:val="20"/>
                <w:szCs w:val="20"/>
              </w:rPr>
              <w:t xml:space="preserve">el cual se ordena la entrega de transferencias monetarias no condicionadas, adicionales y extraordinarias en favor de los beneficiarios de los </w:t>
            </w:r>
            <w:r w:rsidR="00CF2876">
              <w:rPr>
                <w:rFonts w:ascii="Verdana" w:hAnsi="Verdana"/>
                <w:sz w:val="20"/>
                <w:szCs w:val="20"/>
              </w:rPr>
              <w:t>p</w:t>
            </w:r>
            <w:r w:rsidRPr="00291518">
              <w:rPr>
                <w:rFonts w:ascii="Verdana" w:hAnsi="Verdana"/>
                <w:sz w:val="20"/>
                <w:szCs w:val="20"/>
              </w:rPr>
              <w:t>rogramas de Protección Social al Adulto Mayor – Colombia Mayor, Familias en Acción y Jóvenes en Acción y se dictan otras disposiciones en el marco del Estado de emergencia Económica, Social y Ecológica declarado por el Decreto 637 de 2020.</w:t>
            </w:r>
          </w:p>
          <w:p w14:paraId="1C6CBE38" w14:textId="3DF5F602" w:rsidR="00291518" w:rsidRPr="00291518" w:rsidRDefault="00291518" w:rsidP="00AB73D2">
            <w:pPr>
              <w:pStyle w:val="NormalWeb"/>
              <w:numPr>
                <w:ilvl w:val="0"/>
                <w:numId w:val="4"/>
              </w:numPr>
              <w:rPr>
                <w:rFonts w:ascii="Verdana" w:hAnsi="Verdana"/>
                <w:sz w:val="20"/>
                <w:szCs w:val="20"/>
              </w:rPr>
            </w:pPr>
            <w:r w:rsidRPr="00291518">
              <w:rPr>
                <w:rFonts w:ascii="Verdana" w:hAnsi="Verdana"/>
                <w:b/>
                <w:bCs/>
                <w:sz w:val="20"/>
                <w:szCs w:val="20"/>
              </w:rPr>
              <w:t xml:space="preserve">Resolución conjunta 2759 de 2020. </w:t>
            </w:r>
            <w:r w:rsidRPr="00291518">
              <w:rPr>
                <w:rFonts w:ascii="Verdana" w:hAnsi="Verdana"/>
                <w:sz w:val="20"/>
                <w:szCs w:val="20"/>
              </w:rPr>
              <w:t xml:space="preserve">Por medio de la cual se efectúa una asignación de recursos para la ampliación de cobertura del </w:t>
            </w:r>
            <w:r w:rsidR="00CF2876">
              <w:rPr>
                <w:rFonts w:ascii="Verdana" w:hAnsi="Verdana"/>
                <w:sz w:val="20"/>
                <w:szCs w:val="20"/>
              </w:rPr>
              <w:t>p</w:t>
            </w:r>
            <w:r w:rsidRPr="00291518">
              <w:rPr>
                <w:rFonts w:ascii="Verdana" w:hAnsi="Verdana"/>
                <w:sz w:val="20"/>
                <w:szCs w:val="20"/>
              </w:rPr>
              <w:t>rograma de Protección Socia al Adulto Mayor de la Subcuenta de subsistencia del Fondo de Solidaridad Pensional para la vigencia fiscal 2020.</w:t>
            </w:r>
          </w:p>
          <w:p w14:paraId="7AA6CEAE" w14:textId="63D6D1BF" w:rsidR="00291518" w:rsidRPr="00291518" w:rsidRDefault="00291518" w:rsidP="00AB73D2">
            <w:pPr>
              <w:pStyle w:val="Prrafodelista"/>
              <w:numPr>
                <w:ilvl w:val="0"/>
                <w:numId w:val="4"/>
              </w:numPr>
              <w:jc w:val="both"/>
              <w:rPr>
                <w:rFonts w:ascii="Verdana" w:hAnsi="Verdana"/>
              </w:rPr>
            </w:pPr>
            <w:r w:rsidRPr="00291518">
              <w:rPr>
                <w:rFonts w:ascii="Verdana" w:hAnsi="Verdana"/>
                <w:b/>
                <w:bCs/>
              </w:rPr>
              <w:t xml:space="preserve">Decreto 1690 de 2020. </w:t>
            </w:r>
            <w:r w:rsidRPr="00291518">
              <w:rPr>
                <w:rFonts w:ascii="Verdana" w:hAnsi="Verdana"/>
              </w:rPr>
              <w:t xml:space="preserve">Por </w:t>
            </w:r>
            <w:r w:rsidR="00405621">
              <w:rPr>
                <w:rFonts w:ascii="Verdana" w:hAnsi="Verdana"/>
              </w:rPr>
              <w:t>medio d</w:t>
            </w:r>
            <w:r w:rsidRPr="00291518">
              <w:rPr>
                <w:rFonts w:ascii="Verdana" w:hAnsi="Verdana"/>
              </w:rPr>
              <w:t xml:space="preserve">el cual se reglamenta el artículo 5 del Decreto Legislativo 812 de 2020 sobre la administración, ejecución y operación del </w:t>
            </w:r>
            <w:r w:rsidR="00405621">
              <w:rPr>
                <w:rFonts w:ascii="Verdana" w:hAnsi="Verdana"/>
              </w:rPr>
              <w:t>p</w:t>
            </w:r>
            <w:r w:rsidRPr="00291518">
              <w:rPr>
                <w:rFonts w:ascii="Verdana" w:hAnsi="Verdana"/>
              </w:rPr>
              <w:t xml:space="preserve">rograma de Protección Social al Adulto </w:t>
            </w:r>
            <w:r w:rsidRPr="00291518">
              <w:rPr>
                <w:rFonts w:ascii="Verdana" w:hAnsi="Verdana"/>
              </w:rPr>
              <w:lastRenderedPageBreak/>
              <w:t xml:space="preserve">Mayor- Colombia Mayor-, el esquema de compensación del impuesto sobre las Ventas (IVA), el </w:t>
            </w:r>
            <w:r w:rsidR="00405621">
              <w:rPr>
                <w:rFonts w:ascii="Verdana" w:hAnsi="Verdana"/>
              </w:rPr>
              <w:t>p</w:t>
            </w:r>
            <w:r w:rsidRPr="00291518">
              <w:rPr>
                <w:rFonts w:ascii="Verdana" w:hAnsi="Verdana"/>
              </w:rPr>
              <w:t>rograma de Ingreso Solidario y se dictan otras disposiciones</w:t>
            </w:r>
            <w:r w:rsidR="00D95604">
              <w:rPr>
                <w:rFonts w:ascii="Verdana" w:hAnsi="Verdana"/>
              </w:rPr>
              <w:t xml:space="preserve"> y en su artículo 7 </w:t>
            </w:r>
            <w:r w:rsidR="00D95604" w:rsidRPr="00D95604">
              <w:rPr>
                <w:rFonts w:ascii="Verdana" w:hAnsi="Verdana"/>
              </w:rPr>
              <w:t>establece que los benefici</w:t>
            </w:r>
            <w:r w:rsidR="00D95604">
              <w:rPr>
                <w:rFonts w:ascii="Verdana" w:hAnsi="Verdana"/>
              </w:rPr>
              <w:t>ari</w:t>
            </w:r>
            <w:r w:rsidR="00D95604" w:rsidRPr="00D95604">
              <w:rPr>
                <w:rFonts w:ascii="Verdana" w:hAnsi="Verdana"/>
              </w:rPr>
              <w:t>os de la subcuenta de subsistencia serán otorgados en las modalidades de subsidio económico directo y subsidio económico indirecto.</w:t>
            </w:r>
          </w:p>
          <w:p w14:paraId="43515B5A" w14:textId="232A6DA1" w:rsidR="00291518" w:rsidRDefault="00291518" w:rsidP="00405621">
            <w:pPr>
              <w:jc w:val="both"/>
              <w:rPr>
                <w:rFonts w:ascii="Verdana" w:hAnsi="Verdana"/>
                <w:b/>
                <w:bCs/>
              </w:rPr>
            </w:pPr>
          </w:p>
          <w:p w14:paraId="2DBC7C7A" w14:textId="77777777" w:rsidR="00291518" w:rsidRDefault="00291518" w:rsidP="00291518">
            <w:pPr>
              <w:ind w:left="494" w:hanging="283"/>
              <w:jc w:val="both"/>
              <w:rPr>
                <w:rFonts w:ascii="Verdana" w:hAnsi="Verdana"/>
                <w:b/>
                <w:bCs/>
              </w:rPr>
            </w:pPr>
          </w:p>
          <w:p w14:paraId="445C10DB" w14:textId="6C53EE82" w:rsidR="00795C6B" w:rsidRDefault="007B67A2" w:rsidP="00291518">
            <w:pPr>
              <w:ind w:left="494" w:hanging="283"/>
              <w:jc w:val="both"/>
              <w:rPr>
                <w:rFonts w:cs="Arial"/>
                <w:sz w:val="22"/>
                <w:szCs w:val="22"/>
                <w:lang w:val="es-CO" w:eastAsia="es-CO"/>
              </w:rPr>
            </w:pPr>
            <w:r>
              <w:rPr>
                <w:rFonts w:cs="Arial"/>
                <w:sz w:val="22"/>
                <w:szCs w:val="22"/>
                <w:lang w:val="es-CO" w:eastAsia="es-CO"/>
              </w:rPr>
              <w:t xml:space="preserve"> </w:t>
            </w:r>
            <w:r w:rsidR="00795C6B">
              <w:rPr>
                <w:rFonts w:cs="Arial"/>
                <w:sz w:val="22"/>
                <w:szCs w:val="22"/>
                <w:lang w:val="es-CO" w:eastAsia="es-CO"/>
              </w:rPr>
              <w:t>3.2 Vigencia de la ley o norma reglamentada o desarrollada</w:t>
            </w:r>
          </w:p>
          <w:p w14:paraId="1AFF6838" w14:textId="77777777" w:rsidR="004B28EF" w:rsidRDefault="004B28EF" w:rsidP="0075705D">
            <w:pPr>
              <w:ind w:left="494" w:hanging="283"/>
              <w:jc w:val="both"/>
              <w:rPr>
                <w:rFonts w:cs="Arial"/>
                <w:sz w:val="22"/>
                <w:szCs w:val="22"/>
                <w:lang w:val="es-CO" w:eastAsia="es-CO"/>
              </w:rPr>
            </w:pPr>
          </w:p>
          <w:p w14:paraId="534DEAD5" w14:textId="5795B4AE" w:rsidR="00795C6B" w:rsidRDefault="007B67A2" w:rsidP="0045028F">
            <w:pPr>
              <w:ind w:left="211"/>
              <w:jc w:val="both"/>
              <w:rPr>
                <w:rFonts w:cs="Arial"/>
                <w:sz w:val="22"/>
                <w:szCs w:val="22"/>
                <w:lang w:val="es-CO" w:eastAsia="es-CO"/>
              </w:rPr>
            </w:pPr>
            <w:r>
              <w:rPr>
                <w:rFonts w:cs="Arial"/>
                <w:sz w:val="22"/>
                <w:szCs w:val="22"/>
                <w:lang w:val="es-CO" w:eastAsia="es-CO"/>
              </w:rPr>
              <w:t>A</w:t>
            </w:r>
            <w:r w:rsidR="00A06FC3">
              <w:rPr>
                <w:rFonts w:cs="Arial"/>
                <w:sz w:val="22"/>
                <w:szCs w:val="22"/>
                <w:lang w:val="es-CO" w:eastAsia="es-CO"/>
              </w:rPr>
              <w:t>rtículo</w:t>
            </w:r>
            <w:r w:rsidR="00321154">
              <w:rPr>
                <w:rFonts w:cs="Arial"/>
                <w:sz w:val="22"/>
                <w:szCs w:val="22"/>
                <w:lang w:val="es-CO" w:eastAsia="es-CO"/>
              </w:rPr>
              <w:t xml:space="preserve"> 6</w:t>
            </w:r>
            <w:r w:rsidR="00A06FC3">
              <w:rPr>
                <w:rFonts w:cs="Arial"/>
                <w:sz w:val="22"/>
                <w:szCs w:val="22"/>
                <w:lang w:val="es-CO" w:eastAsia="es-CO"/>
              </w:rPr>
              <w:t xml:space="preserve"> del Decreto </w:t>
            </w:r>
            <w:r w:rsidR="00B3781A">
              <w:rPr>
                <w:rFonts w:cs="Arial"/>
                <w:sz w:val="22"/>
                <w:szCs w:val="22"/>
                <w:lang w:val="es-CO" w:eastAsia="es-CO"/>
              </w:rPr>
              <w:t xml:space="preserve">Legislativo </w:t>
            </w:r>
            <w:r w:rsidR="00A06FC3">
              <w:rPr>
                <w:rFonts w:cs="Arial"/>
                <w:sz w:val="22"/>
                <w:szCs w:val="22"/>
                <w:lang w:val="es-CO" w:eastAsia="es-CO"/>
              </w:rPr>
              <w:t xml:space="preserve">812 de 2020 y articulo </w:t>
            </w:r>
            <w:r w:rsidR="00A06FC3" w:rsidRPr="00A06FC3">
              <w:rPr>
                <w:rFonts w:cs="Arial"/>
                <w:sz w:val="22"/>
                <w:szCs w:val="22"/>
                <w:lang w:val="es-CO" w:eastAsia="es-CO"/>
              </w:rPr>
              <w:t>2.7.1.1.11.</w:t>
            </w:r>
            <w:r w:rsidR="00A06FC3">
              <w:rPr>
                <w:rFonts w:cs="Arial"/>
                <w:sz w:val="22"/>
                <w:szCs w:val="22"/>
                <w:lang w:val="es-CO" w:eastAsia="es-CO"/>
              </w:rPr>
              <w:t xml:space="preserve"> del Decreto 1084 de 2015.</w:t>
            </w:r>
          </w:p>
          <w:p w14:paraId="6F36D9F3" w14:textId="77777777" w:rsidR="004B28EF" w:rsidRDefault="004B28EF" w:rsidP="004B28EF">
            <w:pPr>
              <w:jc w:val="both"/>
              <w:rPr>
                <w:rFonts w:cs="Arial"/>
                <w:sz w:val="22"/>
                <w:szCs w:val="22"/>
                <w:lang w:val="es-CO" w:eastAsia="es-CO"/>
              </w:rPr>
            </w:pPr>
          </w:p>
          <w:p w14:paraId="265420B0" w14:textId="77777777" w:rsidR="00795C6B" w:rsidRDefault="00795C6B" w:rsidP="0075705D">
            <w:pPr>
              <w:ind w:left="494" w:hanging="283"/>
              <w:jc w:val="both"/>
              <w:rPr>
                <w:rFonts w:cs="Arial"/>
                <w:sz w:val="22"/>
                <w:szCs w:val="22"/>
                <w:lang w:val="es-CO" w:eastAsia="es-CO"/>
              </w:rPr>
            </w:pPr>
            <w:r>
              <w:rPr>
                <w:rFonts w:cs="Arial"/>
                <w:sz w:val="22"/>
                <w:szCs w:val="22"/>
                <w:lang w:val="es-CO" w:eastAsia="es-CO"/>
              </w:rPr>
              <w:t>3.3. Disposiciones derogas, subrogadas, modificadas, adicionadas</w:t>
            </w:r>
            <w:r w:rsidR="00D05B67">
              <w:rPr>
                <w:rFonts w:cs="Arial"/>
                <w:sz w:val="22"/>
                <w:szCs w:val="22"/>
                <w:lang w:val="es-CO" w:eastAsia="es-CO"/>
              </w:rPr>
              <w:t xml:space="preserve"> o sustituidas</w:t>
            </w:r>
            <w:r w:rsidR="00AA2D71">
              <w:rPr>
                <w:rFonts w:cs="Arial"/>
                <w:sz w:val="22"/>
                <w:szCs w:val="22"/>
                <w:lang w:val="es-CO" w:eastAsia="es-CO"/>
              </w:rPr>
              <w:t>.</w:t>
            </w:r>
            <w:r w:rsidR="00D05B67">
              <w:rPr>
                <w:rFonts w:cs="Arial"/>
                <w:sz w:val="22"/>
                <w:szCs w:val="22"/>
                <w:lang w:val="es-CO" w:eastAsia="es-CO"/>
              </w:rPr>
              <w:t xml:space="preserve"> </w:t>
            </w:r>
          </w:p>
          <w:p w14:paraId="0476B883" w14:textId="77777777" w:rsidR="00D05B67" w:rsidRDefault="00D05B67" w:rsidP="0075705D">
            <w:pPr>
              <w:ind w:left="494" w:hanging="283"/>
              <w:jc w:val="both"/>
              <w:rPr>
                <w:rFonts w:cs="Arial"/>
                <w:sz w:val="22"/>
                <w:szCs w:val="22"/>
                <w:lang w:val="es-CO" w:eastAsia="es-CO"/>
              </w:rPr>
            </w:pPr>
          </w:p>
          <w:p w14:paraId="3246CDAB" w14:textId="39304CFF" w:rsidR="00AA2D71" w:rsidRDefault="007B67A2" w:rsidP="0075705D">
            <w:pPr>
              <w:ind w:left="494" w:hanging="283"/>
              <w:jc w:val="both"/>
              <w:rPr>
                <w:rFonts w:cs="Arial"/>
                <w:sz w:val="22"/>
                <w:szCs w:val="22"/>
                <w:lang w:val="es-CO" w:eastAsia="es-CO"/>
              </w:rPr>
            </w:pPr>
            <w:r>
              <w:rPr>
                <w:rFonts w:cs="Arial"/>
                <w:sz w:val="22"/>
                <w:szCs w:val="22"/>
                <w:lang w:val="es-CO" w:eastAsia="es-CO"/>
              </w:rPr>
              <w:t>N/A</w:t>
            </w:r>
          </w:p>
          <w:p w14:paraId="0D06AD74" w14:textId="77777777" w:rsidR="00B3781A" w:rsidRDefault="00B3781A" w:rsidP="0075705D">
            <w:pPr>
              <w:ind w:left="494" w:hanging="283"/>
              <w:jc w:val="both"/>
              <w:rPr>
                <w:rFonts w:cs="Arial"/>
                <w:sz w:val="22"/>
                <w:szCs w:val="22"/>
                <w:lang w:val="es-CO" w:eastAsia="es-CO"/>
              </w:rPr>
            </w:pPr>
          </w:p>
          <w:p w14:paraId="614CDA75" w14:textId="77777777" w:rsidR="00D05B67" w:rsidRDefault="00D05B67" w:rsidP="0075705D">
            <w:pPr>
              <w:ind w:left="494" w:hanging="283"/>
              <w:jc w:val="both"/>
              <w:rPr>
                <w:rFonts w:cs="Arial"/>
                <w:sz w:val="22"/>
                <w:szCs w:val="22"/>
                <w:lang w:val="es-CO" w:eastAsia="es-CO"/>
              </w:rPr>
            </w:pPr>
            <w:r>
              <w:rPr>
                <w:rFonts w:cs="Arial"/>
                <w:sz w:val="22"/>
                <w:szCs w:val="22"/>
                <w:lang w:val="es-CO" w:eastAsia="es-CO"/>
              </w:rPr>
              <w:t>3.4 Revisión y análisis de la jurisprudencia que tenga impacto o sea relevante para la expedición del proyecto normativo (órganos de cierre de cada jurisdicción)</w:t>
            </w:r>
          </w:p>
          <w:p w14:paraId="5C65A354" w14:textId="77777777" w:rsidR="00782FC2" w:rsidRDefault="00782FC2" w:rsidP="0075705D">
            <w:pPr>
              <w:ind w:left="494" w:hanging="283"/>
              <w:jc w:val="both"/>
              <w:rPr>
                <w:rFonts w:cs="Arial"/>
                <w:sz w:val="22"/>
                <w:szCs w:val="22"/>
                <w:lang w:val="es-CO" w:eastAsia="es-CO"/>
              </w:rPr>
            </w:pPr>
          </w:p>
          <w:p w14:paraId="4237ABC7" w14:textId="77777777" w:rsidR="00D05B67" w:rsidRDefault="003C53E0" w:rsidP="0075705D">
            <w:pPr>
              <w:ind w:left="494" w:hanging="283"/>
              <w:jc w:val="both"/>
              <w:rPr>
                <w:rFonts w:cs="Arial"/>
                <w:sz w:val="22"/>
                <w:szCs w:val="22"/>
                <w:lang w:val="es-CO" w:eastAsia="es-CO"/>
              </w:rPr>
            </w:pPr>
            <w:r>
              <w:rPr>
                <w:rFonts w:cs="Arial"/>
                <w:sz w:val="22"/>
                <w:szCs w:val="22"/>
                <w:lang w:val="es-CO" w:eastAsia="es-CO"/>
              </w:rPr>
              <w:t>N/A</w:t>
            </w:r>
          </w:p>
          <w:p w14:paraId="6CC5B819" w14:textId="77777777" w:rsidR="003C53E0" w:rsidRDefault="003C53E0" w:rsidP="0075705D">
            <w:pPr>
              <w:ind w:left="494" w:hanging="283"/>
              <w:jc w:val="both"/>
              <w:rPr>
                <w:rFonts w:cs="Arial"/>
                <w:sz w:val="22"/>
                <w:szCs w:val="22"/>
                <w:lang w:val="es-CO" w:eastAsia="es-CO"/>
              </w:rPr>
            </w:pPr>
          </w:p>
          <w:p w14:paraId="783489DE" w14:textId="77777777" w:rsidR="00D05B67" w:rsidRDefault="00D05B67" w:rsidP="0075705D">
            <w:pPr>
              <w:ind w:left="494" w:hanging="283"/>
              <w:jc w:val="both"/>
              <w:rPr>
                <w:rFonts w:cs="Arial"/>
                <w:sz w:val="22"/>
                <w:szCs w:val="22"/>
                <w:lang w:val="es-CO" w:eastAsia="es-CO"/>
              </w:rPr>
            </w:pPr>
            <w:r>
              <w:rPr>
                <w:rFonts w:cs="Arial"/>
                <w:sz w:val="22"/>
                <w:szCs w:val="22"/>
                <w:lang w:val="es-CO" w:eastAsia="es-CO"/>
              </w:rPr>
              <w:t xml:space="preserve">3.5 Circunstancias jurídicas adicionales </w:t>
            </w:r>
          </w:p>
          <w:p w14:paraId="129A1458" w14:textId="77777777" w:rsidR="00A64671" w:rsidRDefault="00A64671" w:rsidP="0075705D">
            <w:pPr>
              <w:ind w:left="494" w:hanging="283"/>
              <w:jc w:val="both"/>
              <w:rPr>
                <w:rFonts w:cs="Arial"/>
                <w:sz w:val="22"/>
                <w:szCs w:val="22"/>
                <w:lang w:val="es-CO" w:eastAsia="es-CO"/>
              </w:rPr>
            </w:pPr>
          </w:p>
          <w:p w14:paraId="3C0B2FD6" w14:textId="77777777" w:rsidR="003B1067" w:rsidRDefault="003B1067" w:rsidP="003B1067">
            <w:pPr>
              <w:ind w:left="494" w:hanging="283"/>
              <w:jc w:val="both"/>
              <w:rPr>
                <w:rFonts w:cs="Arial"/>
                <w:sz w:val="22"/>
                <w:szCs w:val="22"/>
                <w:lang w:val="es-CO" w:eastAsia="es-CO"/>
              </w:rPr>
            </w:pPr>
            <w:r>
              <w:rPr>
                <w:rFonts w:cs="Arial"/>
                <w:sz w:val="22"/>
                <w:szCs w:val="22"/>
                <w:lang w:val="es-CO" w:eastAsia="es-CO"/>
              </w:rPr>
              <w:t>N/A</w:t>
            </w:r>
          </w:p>
          <w:p w14:paraId="1437039B" w14:textId="77777777" w:rsidR="003818EE" w:rsidRDefault="003818EE" w:rsidP="0075705D">
            <w:pPr>
              <w:ind w:left="494" w:hanging="283"/>
              <w:jc w:val="both"/>
              <w:rPr>
                <w:rFonts w:cs="Arial"/>
                <w:sz w:val="22"/>
                <w:szCs w:val="22"/>
                <w:lang w:val="es-CO" w:eastAsia="es-CO"/>
              </w:rPr>
            </w:pPr>
          </w:p>
          <w:p w14:paraId="1D920323" w14:textId="77777777" w:rsidR="00795C6B"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p w14:paraId="058F278A" w14:textId="77777777" w:rsidR="00795C6B" w:rsidRPr="009F7CED"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DF60FD" w:rsidRPr="009F7CED" w14:paraId="23CE9F49"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E07711" w14:textId="77777777" w:rsidR="00843EFF" w:rsidRPr="009F7CED" w:rsidRDefault="00843EFF" w:rsidP="00A161B9">
            <w:pPr>
              <w:rPr>
                <w:rFonts w:cs="Arial"/>
                <w:b/>
                <w:color w:val="000000"/>
                <w:sz w:val="22"/>
                <w:szCs w:val="22"/>
              </w:rPr>
            </w:pPr>
          </w:p>
          <w:p w14:paraId="484493AD" w14:textId="77777777" w:rsidR="00DF60FD" w:rsidRPr="009F7CED" w:rsidRDefault="00DF60FD" w:rsidP="00AB73D2">
            <w:pPr>
              <w:numPr>
                <w:ilvl w:val="0"/>
                <w:numId w:val="2"/>
              </w:numPr>
              <w:rPr>
                <w:rFonts w:cs="Arial"/>
                <w:b/>
                <w:color w:val="000000"/>
                <w:sz w:val="22"/>
                <w:szCs w:val="22"/>
              </w:rPr>
            </w:pPr>
            <w:r w:rsidRPr="009F7CED">
              <w:rPr>
                <w:rFonts w:cs="Arial"/>
                <w:b/>
                <w:color w:val="000000"/>
                <w:sz w:val="22"/>
                <w:szCs w:val="22"/>
              </w:rPr>
              <w:t xml:space="preserve">IMPACTO ECONÓMICO </w:t>
            </w:r>
            <w:r w:rsidR="00D05B67" w:rsidRPr="00D05B67">
              <w:rPr>
                <w:rFonts w:cs="Arial"/>
                <w:color w:val="000000"/>
                <w:sz w:val="22"/>
                <w:szCs w:val="22"/>
              </w:rPr>
              <w:t>(Si se requiere)</w:t>
            </w:r>
          </w:p>
          <w:p w14:paraId="09E23F26" w14:textId="77777777" w:rsidR="00795C6B" w:rsidRPr="00795C6B" w:rsidRDefault="00795C6B" w:rsidP="00795C6B">
            <w:pPr>
              <w:pStyle w:val="Listavistosa-nfasis11"/>
              <w:jc w:val="both"/>
              <w:rPr>
                <w:rFonts w:ascii="Arial" w:hAnsi="Arial" w:cs="Arial"/>
                <w:i/>
                <w:color w:val="808080"/>
                <w:sz w:val="18"/>
              </w:rPr>
            </w:pPr>
            <w:r w:rsidRPr="00795C6B">
              <w:rPr>
                <w:rFonts w:ascii="Arial" w:hAnsi="Arial" w:cs="Arial"/>
                <w:i/>
                <w:color w:val="808080"/>
                <w:sz w:val="18"/>
              </w:rPr>
              <w:t>(Por favor señale el costo o ahorro de la implementación del acto administrativo</w:t>
            </w:r>
            <w:r>
              <w:rPr>
                <w:rFonts w:ascii="Arial" w:hAnsi="Arial" w:cs="Arial"/>
                <w:i/>
                <w:color w:val="808080"/>
                <w:sz w:val="18"/>
              </w:rPr>
              <w:t>)</w:t>
            </w:r>
          </w:p>
          <w:p w14:paraId="5763282C" w14:textId="77777777" w:rsidR="006F3B10" w:rsidRDefault="006F3B10" w:rsidP="006F3B10">
            <w:pPr>
              <w:jc w:val="both"/>
              <w:rPr>
                <w:rFonts w:cs="Arial"/>
                <w:sz w:val="22"/>
                <w:szCs w:val="22"/>
                <w:lang w:val="es-CO"/>
              </w:rPr>
            </w:pPr>
          </w:p>
          <w:p w14:paraId="759A6D0F" w14:textId="77777777" w:rsidR="00531457" w:rsidRDefault="00531457" w:rsidP="006F3B10">
            <w:pPr>
              <w:jc w:val="both"/>
              <w:rPr>
                <w:rFonts w:cs="Arial"/>
                <w:sz w:val="22"/>
                <w:szCs w:val="22"/>
                <w:lang w:val="es-CO"/>
              </w:rPr>
            </w:pPr>
            <w:r>
              <w:rPr>
                <w:rFonts w:cs="Arial"/>
                <w:sz w:val="22"/>
                <w:szCs w:val="22"/>
                <w:lang w:val="es-CO"/>
              </w:rPr>
              <w:t>El valor del subsidio entregado por el programa es de $80.000 pesos financiados con los recursos de la Subcuenta de subsistencia del Fondo de Solidaridad Pensional y del Presupuesto General de la Nación.</w:t>
            </w:r>
          </w:p>
          <w:p w14:paraId="5ED66F95" w14:textId="77777777" w:rsidR="00531457" w:rsidRDefault="00531457" w:rsidP="006F3B10">
            <w:pPr>
              <w:jc w:val="both"/>
              <w:rPr>
                <w:rFonts w:cs="Arial"/>
                <w:sz w:val="22"/>
                <w:szCs w:val="22"/>
                <w:lang w:val="es-CO"/>
              </w:rPr>
            </w:pPr>
          </w:p>
          <w:p w14:paraId="117901C5" w14:textId="77777777" w:rsidR="00531457" w:rsidRDefault="00531457" w:rsidP="006F3B10">
            <w:pPr>
              <w:jc w:val="both"/>
              <w:rPr>
                <w:rFonts w:cs="Arial"/>
                <w:sz w:val="22"/>
                <w:szCs w:val="22"/>
                <w:lang w:val="es-CO"/>
              </w:rPr>
            </w:pPr>
            <w:r>
              <w:rPr>
                <w:rFonts w:cs="Arial"/>
                <w:sz w:val="22"/>
                <w:szCs w:val="22"/>
                <w:lang w:val="es-CO"/>
              </w:rPr>
              <w:t>De acuerdo con la distribución de los recursos, la distribución de estos se hará de la siguiente manera para la vigencia 2021:</w:t>
            </w:r>
          </w:p>
          <w:p w14:paraId="0C7A0013" w14:textId="77777777" w:rsidR="00531457" w:rsidRDefault="00531457" w:rsidP="006F3B10">
            <w:pPr>
              <w:jc w:val="both"/>
              <w:rPr>
                <w:rFonts w:cs="Arial"/>
                <w:sz w:val="22"/>
                <w:szCs w:val="22"/>
                <w:lang w:val="es-CO"/>
              </w:rPr>
            </w:pPr>
          </w:p>
          <w:tbl>
            <w:tblPr>
              <w:tblStyle w:val="Tablanormal4"/>
              <w:tblW w:w="9149" w:type="dxa"/>
              <w:tblLayout w:type="fixed"/>
              <w:tblLook w:val="04A0" w:firstRow="1" w:lastRow="0" w:firstColumn="1" w:lastColumn="0" w:noHBand="0" w:noVBand="1"/>
            </w:tblPr>
            <w:tblGrid>
              <w:gridCol w:w="3666"/>
              <w:gridCol w:w="2072"/>
              <w:gridCol w:w="3411"/>
            </w:tblGrid>
            <w:tr w:rsidR="00531457" w14:paraId="4EB0A1C4" w14:textId="77777777" w:rsidTr="00D853AE">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3666" w:type="dxa"/>
                  <w:vAlign w:val="center"/>
                  <w:hideMark/>
                </w:tcPr>
                <w:p w14:paraId="6BEA465F" w14:textId="77777777" w:rsidR="00531457" w:rsidRPr="00915B25" w:rsidRDefault="00531457" w:rsidP="00531457">
                  <w:pPr>
                    <w:jc w:val="center"/>
                    <w:rPr>
                      <w:rFonts w:ascii="Calibri" w:hAnsi="Calibri"/>
                      <w:color w:val="000000" w:themeColor="text1"/>
                      <w:lang w:val="es-CO" w:eastAsia="es-ES_tradnl"/>
                    </w:rPr>
                  </w:pPr>
                  <w:r w:rsidRPr="00915B25">
                    <w:rPr>
                      <w:rFonts w:ascii="Calibri" w:hAnsi="Calibri"/>
                      <w:b w:val="0"/>
                      <w:bCs w:val="0"/>
                      <w:color w:val="000000" w:themeColor="text1"/>
                    </w:rPr>
                    <w:t>GRUPO POBLACIONAL</w:t>
                  </w:r>
                </w:p>
              </w:tc>
              <w:tc>
                <w:tcPr>
                  <w:tcW w:w="2072" w:type="dxa"/>
                  <w:vAlign w:val="center"/>
                  <w:hideMark/>
                </w:tcPr>
                <w:p w14:paraId="159A9CC8" w14:textId="77777777" w:rsidR="00531457" w:rsidRPr="00915B25" w:rsidRDefault="00531457" w:rsidP="00531457">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rPr>
                  </w:pPr>
                  <w:r w:rsidRPr="00915B25">
                    <w:rPr>
                      <w:rFonts w:ascii="Calibri" w:hAnsi="Calibri"/>
                      <w:b w:val="0"/>
                      <w:bCs w:val="0"/>
                      <w:color w:val="000000" w:themeColor="text1"/>
                    </w:rPr>
                    <w:t>Cupos</w:t>
                  </w:r>
                </w:p>
              </w:tc>
              <w:tc>
                <w:tcPr>
                  <w:tcW w:w="3411" w:type="dxa"/>
                  <w:vAlign w:val="center"/>
                  <w:hideMark/>
                </w:tcPr>
                <w:p w14:paraId="677D5848" w14:textId="77777777" w:rsidR="00531457" w:rsidRPr="00915B25" w:rsidRDefault="00531457" w:rsidP="00531457">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rPr>
                  </w:pPr>
                  <w:r w:rsidRPr="00915B25">
                    <w:rPr>
                      <w:rFonts w:ascii="Calibri" w:hAnsi="Calibri"/>
                      <w:b w:val="0"/>
                      <w:bCs w:val="0"/>
                      <w:color w:val="000000" w:themeColor="text1"/>
                    </w:rPr>
                    <w:t>Asignación total</w:t>
                  </w:r>
                </w:p>
              </w:tc>
            </w:tr>
            <w:tr w:rsidR="00531457" w14:paraId="53080A4B" w14:textId="77777777" w:rsidTr="00D853AE">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666" w:type="dxa"/>
                  <w:noWrap/>
                  <w:vAlign w:val="center"/>
                  <w:hideMark/>
                </w:tcPr>
                <w:p w14:paraId="693AAD59" w14:textId="3678D2E0" w:rsidR="00531457" w:rsidRDefault="00531457" w:rsidP="00531457">
                  <w:pPr>
                    <w:jc w:val="center"/>
                    <w:rPr>
                      <w:rFonts w:ascii="Calibri" w:hAnsi="Calibri"/>
                      <w:b w:val="0"/>
                      <w:bCs w:val="0"/>
                      <w:color w:val="000000"/>
                      <w:sz w:val="22"/>
                      <w:szCs w:val="22"/>
                    </w:rPr>
                  </w:pPr>
                  <w:r>
                    <w:rPr>
                      <w:rFonts w:ascii="Calibri" w:hAnsi="Calibri"/>
                      <w:color w:val="000000"/>
                      <w:sz w:val="22"/>
                      <w:szCs w:val="22"/>
                    </w:rPr>
                    <w:t xml:space="preserve">Cupos a </w:t>
                  </w:r>
                  <w:r w:rsidR="00CF2876">
                    <w:rPr>
                      <w:rFonts w:ascii="Calibri" w:hAnsi="Calibri"/>
                      <w:color w:val="000000"/>
                      <w:sz w:val="22"/>
                      <w:szCs w:val="22"/>
                    </w:rPr>
                    <w:t>m</w:t>
                  </w:r>
                  <w:r>
                    <w:rPr>
                      <w:rFonts w:ascii="Calibri" w:hAnsi="Calibri"/>
                      <w:color w:val="000000"/>
                      <w:sz w:val="22"/>
                      <w:szCs w:val="22"/>
                    </w:rPr>
                    <w:t>unicipios</w:t>
                  </w:r>
                </w:p>
              </w:tc>
              <w:tc>
                <w:tcPr>
                  <w:tcW w:w="2072" w:type="dxa"/>
                  <w:noWrap/>
                  <w:vAlign w:val="center"/>
                  <w:hideMark/>
                </w:tcPr>
                <w:p w14:paraId="0B1924AC" w14:textId="77777777" w:rsidR="00531457" w:rsidRDefault="00531457" w:rsidP="005314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1.658.180</w:t>
                  </w:r>
                </w:p>
              </w:tc>
              <w:tc>
                <w:tcPr>
                  <w:tcW w:w="3411" w:type="dxa"/>
                  <w:noWrap/>
                  <w:vAlign w:val="center"/>
                  <w:hideMark/>
                </w:tcPr>
                <w:p w14:paraId="5EA09F31" w14:textId="77777777" w:rsidR="00531457" w:rsidRDefault="00531457" w:rsidP="005314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1.591.843.920.000</w:t>
                  </w:r>
                </w:p>
              </w:tc>
            </w:tr>
            <w:tr w:rsidR="00531457" w14:paraId="5F59E5F8" w14:textId="77777777" w:rsidTr="00D853AE">
              <w:trPr>
                <w:trHeight w:val="169"/>
              </w:trPr>
              <w:tc>
                <w:tcPr>
                  <w:cnfStyle w:val="001000000000" w:firstRow="0" w:lastRow="0" w:firstColumn="1" w:lastColumn="0" w:oddVBand="0" w:evenVBand="0" w:oddHBand="0" w:evenHBand="0" w:firstRowFirstColumn="0" w:firstRowLastColumn="0" w:lastRowFirstColumn="0" w:lastRowLastColumn="0"/>
                  <w:tcW w:w="3666" w:type="dxa"/>
                  <w:noWrap/>
                  <w:vAlign w:val="center"/>
                  <w:hideMark/>
                </w:tcPr>
                <w:p w14:paraId="767FC3DF" w14:textId="77777777" w:rsidR="00531457" w:rsidRDefault="00531457" w:rsidP="00531457">
                  <w:pPr>
                    <w:jc w:val="center"/>
                    <w:rPr>
                      <w:rFonts w:ascii="Calibri" w:hAnsi="Calibri"/>
                      <w:color w:val="000000"/>
                      <w:sz w:val="22"/>
                      <w:szCs w:val="22"/>
                    </w:rPr>
                  </w:pPr>
                  <w:r>
                    <w:rPr>
                      <w:rFonts w:ascii="Calibri" w:hAnsi="Calibri"/>
                      <w:color w:val="000000"/>
                      <w:sz w:val="22"/>
                      <w:szCs w:val="22"/>
                    </w:rPr>
                    <w:t>Colombia Mayor Indígena</w:t>
                  </w:r>
                </w:p>
              </w:tc>
              <w:tc>
                <w:tcPr>
                  <w:tcW w:w="2072" w:type="dxa"/>
                  <w:noWrap/>
                  <w:vAlign w:val="center"/>
                  <w:hideMark/>
                </w:tcPr>
                <w:p w14:paraId="1E8A400B" w14:textId="77777777" w:rsidR="00531457" w:rsidRDefault="00531457" w:rsidP="0053145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40.691</w:t>
                  </w:r>
                </w:p>
              </w:tc>
              <w:tc>
                <w:tcPr>
                  <w:tcW w:w="3411" w:type="dxa"/>
                  <w:noWrap/>
                  <w:vAlign w:val="center"/>
                  <w:hideMark/>
                </w:tcPr>
                <w:p w14:paraId="38C7AD8E" w14:textId="77777777" w:rsidR="00531457" w:rsidRDefault="00531457" w:rsidP="0053145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39.063.360.000</w:t>
                  </w:r>
                </w:p>
              </w:tc>
            </w:tr>
            <w:tr w:rsidR="00531457" w14:paraId="5725F0F3" w14:textId="77777777" w:rsidTr="00D853AE">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666" w:type="dxa"/>
                  <w:noWrap/>
                  <w:vAlign w:val="center"/>
                  <w:hideMark/>
                </w:tcPr>
                <w:p w14:paraId="16D83C94" w14:textId="77777777" w:rsidR="00531457" w:rsidRDefault="00531457" w:rsidP="00531457">
                  <w:pPr>
                    <w:jc w:val="center"/>
                    <w:rPr>
                      <w:rFonts w:ascii="Calibri" w:hAnsi="Calibri"/>
                      <w:color w:val="000000"/>
                      <w:sz w:val="22"/>
                      <w:szCs w:val="22"/>
                    </w:rPr>
                  </w:pPr>
                  <w:r>
                    <w:rPr>
                      <w:rFonts w:ascii="Calibri" w:hAnsi="Calibri"/>
                      <w:color w:val="000000"/>
                      <w:sz w:val="22"/>
                      <w:szCs w:val="22"/>
                    </w:rPr>
                    <w:t>Subsidio Indirecto</w:t>
                  </w:r>
                </w:p>
              </w:tc>
              <w:tc>
                <w:tcPr>
                  <w:tcW w:w="2072" w:type="dxa"/>
                  <w:noWrap/>
                  <w:vAlign w:val="center"/>
                  <w:hideMark/>
                </w:tcPr>
                <w:p w14:paraId="0098B94F" w14:textId="77777777" w:rsidR="00531457" w:rsidRDefault="00531457" w:rsidP="005314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6.463</w:t>
                  </w:r>
                </w:p>
              </w:tc>
              <w:tc>
                <w:tcPr>
                  <w:tcW w:w="3411" w:type="dxa"/>
                  <w:noWrap/>
                  <w:vAlign w:val="center"/>
                  <w:hideMark/>
                </w:tcPr>
                <w:p w14:paraId="7E09C05F" w14:textId="77777777" w:rsidR="00531457" w:rsidRDefault="00531457" w:rsidP="005314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6.213.360.000</w:t>
                  </w:r>
                </w:p>
              </w:tc>
            </w:tr>
            <w:tr w:rsidR="00531457" w14:paraId="14A96B66" w14:textId="77777777" w:rsidTr="00D853AE">
              <w:trPr>
                <w:trHeight w:val="180"/>
              </w:trPr>
              <w:tc>
                <w:tcPr>
                  <w:cnfStyle w:val="001000000000" w:firstRow="0" w:lastRow="0" w:firstColumn="1" w:lastColumn="0" w:oddVBand="0" w:evenVBand="0" w:oddHBand="0" w:evenHBand="0" w:firstRowFirstColumn="0" w:firstRowLastColumn="0" w:lastRowFirstColumn="0" w:lastRowLastColumn="0"/>
                  <w:tcW w:w="3666" w:type="dxa"/>
                  <w:noWrap/>
                  <w:vAlign w:val="center"/>
                  <w:hideMark/>
                </w:tcPr>
                <w:p w14:paraId="659989FE" w14:textId="77777777" w:rsidR="00531457" w:rsidRDefault="00531457" w:rsidP="00531457">
                  <w:pPr>
                    <w:jc w:val="center"/>
                    <w:rPr>
                      <w:rFonts w:ascii="Calibri" w:hAnsi="Calibri"/>
                      <w:color w:val="000000"/>
                      <w:sz w:val="22"/>
                      <w:szCs w:val="22"/>
                    </w:rPr>
                  </w:pPr>
                  <w:r>
                    <w:rPr>
                      <w:rFonts w:ascii="Calibri" w:hAnsi="Calibri"/>
                      <w:color w:val="000000"/>
                      <w:sz w:val="22"/>
                      <w:szCs w:val="22"/>
                    </w:rPr>
                    <w:t>Cupos BEPS</w:t>
                  </w:r>
                </w:p>
              </w:tc>
              <w:tc>
                <w:tcPr>
                  <w:tcW w:w="2072" w:type="dxa"/>
                  <w:noWrap/>
                  <w:vAlign w:val="center"/>
                  <w:hideMark/>
                </w:tcPr>
                <w:p w14:paraId="4E4FCECE" w14:textId="77777777" w:rsidR="00531457" w:rsidRDefault="00531457" w:rsidP="0053145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17.000</w:t>
                  </w:r>
                </w:p>
              </w:tc>
              <w:tc>
                <w:tcPr>
                  <w:tcW w:w="3411" w:type="dxa"/>
                  <w:noWrap/>
                  <w:vAlign w:val="center"/>
                  <w:hideMark/>
                </w:tcPr>
                <w:p w14:paraId="66BDA680" w14:textId="77777777" w:rsidR="00531457" w:rsidRDefault="00531457" w:rsidP="0053145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16.320.000.000</w:t>
                  </w:r>
                </w:p>
              </w:tc>
            </w:tr>
          </w:tbl>
          <w:p w14:paraId="788BBC95" w14:textId="6A45A28E" w:rsidR="00531457" w:rsidRPr="00795C6B" w:rsidRDefault="00531457" w:rsidP="006F3B10">
            <w:pPr>
              <w:jc w:val="both"/>
              <w:rPr>
                <w:rFonts w:cs="Arial"/>
                <w:sz w:val="22"/>
                <w:szCs w:val="22"/>
                <w:lang w:val="es-CO"/>
              </w:rPr>
            </w:pPr>
          </w:p>
        </w:tc>
      </w:tr>
      <w:tr w:rsidR="00DF60FD" w:rsidRPr="009F7CED" w14:paraId="6133FE60"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C17070" w14:textId="77777777" w:rsidR="00843EFF" w:rsidRPr="009F7CED" w:rsidRDefault="00843EFF" w:rsidP="00A161B9">
            <w:pPr>
              <w:rPr>
                <w:rFonts w:cs="Arial"/>
                <w:b/>
                <w:color w:val="000000"/>
                <w:sz w:val="22"/>
                <w:szCs w:val="22"/>
              </w:rPr>
            </w:pPr>
          </w:p>
          <w:p w14:paraId="40034604" w14:textId="77777777" w:rsidR="00DF60FD" w:rsidRPr="00CE140C" w:rsidRDefault="00795C6B" w:rsidP="00AB73D2">
            <w:pPr>
              <w:numPr>
                <w:ilvl w:val="0"/>
                <w:numId w:val="2"/>
              </w:numPr>
              <w:rPr>
                <w:rFonts w:cs="Arial"/>
                <w:b/>
                <w:color w:val="000000"/>
                <w:sz w:val="22"/>
                <w:szCs w:val="22"/>
              </w:rPr>
            </w:pPr>
            <w:r w:rsidRPr="00CE140C">
              <w:rPr>
                <w:rFonts w:cs="Arial"/>
                <w:b/>
                <w:color w:val="000000"/>
                <w:sz w:val="22"/>
                <w:szCs w:val="22"/>
              </w:rPr>
              <w:t xml:space="preserve">VIABILIDAD O </w:t>
            </w:r>
            <w:r w:rsidR="00DF60FD" w:rsidRPr="00CE140C">
              <w:rPr>
                <w:rFonts w:cs="Arial"/>
                <w:b/>
                <w:color w:val="000000"/>
                <w:sz w:val="22"/>
                <w:szCs w:val="22"/>
              </w:rPr>
              <w:t xml:space="preserve">DISPONIBILIDAD PRESUPUESTAL </w:t>
            </w:r>
            <w:r w:rsidR="00D05B67" w:rsidRPr="00CE140C">
              <w:rPr>
                <w:rFonts w:cs="Arial"/>
                <w:color w:val="000000"/>
                <w:sz w:val="22"/>
                <w:szCs w:val="22"/>
              </w:rPr>
              <w:t>(Si se requiere)</w:t>
            </w:r>
          </w:p>
          <w:p w14:paraId="58A1CC50" w14:textId="77777777" w:rsidR="00696582" w:rsidRDefault="00D05B67" w:rsidP="00DE1A53">
            <w:pPr>
              <w:pStyle w:val="Listavistosa-nfasis11"/>
              <w:jc w:val="both"/>
              <w:rPr>
                <w:rFonts w:ascii="Arial" w:hAnsi="Arial" w:cs="Arial"/>
                <w:i/>
                <w:color w:val="808080"/>
                <w:sz w:val="18"/>
              </w:rPr>
            </w:pPr>
            <w:r w:rsidRPr="00CE140C">
              <w:rPr>
                <w:rFonts w:ascii="Arial" w:hAnsi="Arial" w:cs="Arial"/>
                <w:i/>
                <w:color w:val="808080"/>
                <w:sz w:val="18"/>
              </w:rPr>
              <w:t>(Por favor indique si cuenta con los recursos presupuestales disponibles para la implementación del proyecto normativo)</w:t>
            </w:r>
          </w:p>
          <w:p w14:paraId="514099CE" w14:textId="77777777" w:rsidR="00C24A6C" w:rsidRDefault="00C24A6C" w:rsidP="00C24A6C">
            <w:pPr>
              <w:pStyle w:val="Listavistosa-nfasis11"/>
              <w:ind w:left="0"/>
              <w:jc w:val="both"/>
              <w:rPr>
                <w:rFonts w:ascii="Arial" w:hAnsi="Arial" w:cs="Arial"/>
              </w:rPr>
            </w:pPr>
          </w:p>
          <w:p w14:paraId="5227F021" w14:textId="51D96895" w:rsidR="00CE140C" w:rsidRPr="00C24A6C" w:rsidRDefault="00CE140C" w:rsidP="00C24A6C">
            <w:pPr>
              <w:pStyle w:val="Listavistosa-nfasis11"/>
              <w:ind w:left="0"/>
              <w:jc w:val="both"/>
              <w:rPr>
                <w:rFonts w:ascii="Arial" w:hAnsi="Arial" w:cs="Arial"/>
              </w:rPr>
            </w:pPr>
            <w:r>
              <w:rPr>
                <w:rFonts w:ascii="Arial" w:hAnsi="Arial" w:cs="Arial"/>
              </w:rPr>
              <w:t>Los recursos que amparan la transfer</w:t>
            </w:r>
            <w:r w:rsidR="00B3781A">
              <w:rPr>
                <w:rFonts w:ascii="Arial" w:hAnsi="Arial" w:cs="Arial"/>
              </w:rPr>
              <w:t>e</w:t>
            </w:r>
            <w:r>
              <w:rPr>
                <w:rFonts w:ascii="Arial" w:hAnsi="Arial" w:cs="Arial"/>
              </w:rPr>
              <w:t>ncia del programa para 2021, est</w:t>
            </w:r>
            <w:r w:rsidR="00B3781A">
              <w:rPr>
                <w:rFonts w:ascii="Arial" w:hAnsi="Arial" w:cs="Arial"/>
              </w:rPr>
              <w:t>á</w:t>
            </w:r>
            <w:r>
              <w:rPr>
                <w:rFonts w:ascii="Arial" w:hAnsi="Arial" w:cs="Arial"/>
              </w:rPr>
              <w:t>n soportado</w:t>
            </w:r>
            <w:r w:rsidR="00B3781A">
              <w:rPr>
                <w:rFonts w:ascii="Arial" w:hAnsi="Arial" w:cs="Arial"/>
              </w:rPr>
              <w:t>s</w:t>
            </w:r>
            <w:r>
              <w:rPr>
                <w:rFonts w:ascii="Arial" w:hAnsi="Arial" w:cs="Arial"/>
              </w:rPr>
              <w:t xml:space="preserve"> en los </w:t>
            </w:r>
            <w:r w:rsidRPr="00084F96">
              <w:rPr>
                <w:rFonts w:ascii="Arial" w:hAnsi="Arial" w:cs="Arial"/>
                <w:iCs/>
              </w:rPr>
              <w:t>certificado</w:t>
            </w:r>
            <w:r>
              <w:rPr>
                <w:rFonts w:ascii="Arial" w:hAnsi="Arial" w:cs="Arial"/>
                <w:iCs/>
              </w:rPr>
              <w:t>s</w:t>
            </w:r>
            <w:r w:rsidRPr="00084F96">
              <w:rPr>
                <w:rFonts w:ascii="Arial" w:hAnsi="Arial" w:cs="Arial"/>
                <w:iCs/>
              </w:rPr>
              <w:t xml:space="preserve"> de disponibilidad presupuestal N.</w:t>
            </w:r>
            <w:r w:rsidR="00D07597">
              <w:rPr>
                <w:rFonts w:ascii="Arial" w:hAnsi="Arial" w:cs="Arial"/>
                <w:iCs/>
              </w:rPr>
              <w:t>º</w:t>
            </w:r>
            <w:r w:rsidRPr="00084F96">
              <w:rPr>
                <w:rFonts w:ascii="Arial" w:hAnsi="Arial" w:cs="Arial"/>
                <w:iCs/>
              </w:rPr>
              <w:t xml:space="preserve"> </w:t>
            </w:r>
            <w:r>
              <w:rPr>
                <w:rFonts w:ascii="Arial" w:hAnsi="Arial" w:cs="Arial"/>
                <w:iCs/>
              </w:rPr>
              <w:t xml:space="preserve">11521 y </w:t>
            </w:r>
            <w:r w:rsidR="00D07597">
              <w:rPr>
                <w:rFonts w:ascii="Arial" w:hAnsi="Arial" w:cs="Arial"/>
                <w:iCs/>
              </w:rPr>
              <w:t>N.º</w:t>
            </w:r>
            <w:r>
              <w:rPr>
                <w:rFonts w:ascii="Arial" w:hAnsi="Arial" w:cs="Arial"/>
                <w:iCs/>
              </w:rPr>
              <w:t>11621</w:t>
            </w:r>
            <w:r w:rsidRPr="00084F96">
              <w:rPr>
                <w:rFonts w:ascii="Arial" w:hAnsi="Arial" w:cs="Arial"/>
                <w:iCs/>
              </w:rPr>
              <w:t xml:space="preserve"> del </w:t>
            </w:r>
            <w:r>
              <w:rPr>
                <w:rFonts w:ascii="Arial" w:hAnsi="Arial" w:cs="Arial"/>
                <w:iCs/>
              </w:rPr>
              <w:t>2021</w:t>
            </w:r>
            <w:r w:rsidR="00B3781A">
              <w:rPr>
                <w:rFonts w:ascii="Arial" w:hAnsi="Arial" w:cs="Arial"/>
                <w:iCs/>
              </w:rPr>
              <w:t>.</w:t>
            </w:r>
          </w:p>
        </w:tc>
      </w:tr>
      <w:tr w:rsidR="00DF60FD" w:rsidRPr="009F7CED" w14:paraId="2318AB17"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22B2814B" w14:textId="77777777" w:rsidR="00DF60FD" w:rsidRPr="009F7CED" w:rsidRDefault="00DF60FD" w:rsidP="00AB73D2">
            <w:pPr>
              <w:numPr>
                <w:ilvl w:val="0"/>
                <w:numId w:val="2"/>
              </w:numPr>
              <w:jc w:val="both"/>
              <w:rPr>
                <w:rFonts w:cs="Arial"/>
                <w:b/>
                <w:color w:val="000000"/>
                <w:sz w:val="22"/>
                <w:szCs w:val="22"/>
              </w:rPr>
            </w:pPr>
            <w:r w:rsidRPr="009F7CED">
              <w:rPr>
                <w:rFonts w:cs="Arial"/>
                <w:b/>
                <w:color w:val="000000"/>
                <w:sz w:val="22"/>
                <w:szCs w:val="22"/>
              </w:rPr>
              <w:lastRenderedPageBreak/>
              <w:t xml:space="preserve"> IMPACTO MEDIOAMBIENTAL O SOBRE EL PATRIMONIO CULTURAL DE LA NACIÓN </w:t>
            </w:r>
            <w:r w:rsidR="00D05B67" w:rsidRPr="00D05B67">
              <w:rPr>
                <w:rFonts w:cs="Arial"/>
                <w:color w:val="000000"/>
                <w:sz w:val="22"/>
                <w:szCs w:val="22"/>
              </w:rPr>
              <w:t>(Si se requiere)</w:t>
            </w:r>
          </w:p>
          <w:p w14:paraId="3516DA9C" w14:textId="77777777" w:rsidR="00D05B67" w:rsidRDefault="00D05B67" w:rsidP="00696582">
            <w:pPr>
              <w:ind w:left="778"/>
              <w:jc w:val="both"/>
              <w:rPr>
                <w:rFonts w:cs="Arial"/>
                <w:b/>
                <w:color w:val="000000"/>
                <w:sz w:val="22"/>
                <w:szCs w:val="22"/>
              </w:rPr>
            </w:pPr>
            <w:r>
              <w:rPr>
                <w:rFonts w:cs="Arial"/>
                <w:i/>
                <w:color w:val="808080"/>
                <w:sz w:val="18"/>
                <w:szCs w:val="22"/>
              </w:rPr>
              <w:t>(</w:t>
            </w:r>
            <w:r w:rsidRPr="00795C6B">
              <w:rPr>
                <w:rFonts w:cs="Arial"/>
                <w:i/>
                <w:color w:val="808080"/>
                <w:sz w:val="18"/>
                <w:szCs w:val="22"/>
              </w:rPr>
              <w:t xml:space="preserve">Por favor </w:t>
            </w:r>
            <w:r>
              <w:rPr>
                <w:rFonts w:cs="Arial"/>
                <w:i/>
                <w:color w:val="808080"/>
                <w:sz w:val="18"/>
              </w:rPr>
              <w:t xml:space="preserve">indique el proyecto normativo tiene impacto sobre el medio ambiente o el Patrimonio cultural de la Nación) </w:t>
            </w:r>
          </w:p>
          <w:p w14:paraId="48CD6DA2" w14:textId="77777777" w:rsidR="00D05B67" w:rsidRPr="00DE1A53" w:rsidRDefault="00DE1A53" w:rsidP="00FA4A9E">
            <w:pPr>
              <w:jc w:val="both"/>
              <w:rPr>
                <w:rFonts w:cs="Arial"/>
                <w:color w:val="000000"/>
                <w:sz w:val="22"/>
                <w:szCs w:val="22"/>
              </w:rPr>
            </w:pPr>
            <w:r>
              <w:rPr>
                <w:rFonts w:cs="Arial"/>
                <w:color w:val="000000"/>
                <w:sz w:val="22"/>
                <w:szCs w:val="22"/>
              </w:rPr>
              <w:t>Ninguno</w:t>
            </w:r>
          </w:p>
          <w:p w14:paraId="0BF3CD53" w14:textId="77777777" w:rsidR="00696582" w:rsidRPr="009F7CED" w:rsidRDefault="00696582" w:rsidP="00FA4A9E">
            <w:pPr>
              <w:jc w:val="both"/>
              <w:rPr>
                <w:rFonts w:cs="Arial"/>
                <w:b/>
                <w:color w:val="000000"/>
                <w:sz w:val="22"/>
                <w:szCs w:val="22"/>
              </w:rPr>
            </w:pPr>
          </w:p>
        </w:tc>
      </w:tr>
      <w:tr w:rsidR="00DF60FD" w:rsidRPr="009F7CED" w14:paraId="33FF392F"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04686534" w14:textId="77777777" w:rsidR="00D05B67" w:rsidRPr="009F7CED" w:rsidRDefault="00D05B67" w:rsidP="00AB73D2">
            <w:pPr>
              <w:numPr>
                <w:ilvl w:val="0"/>
                <w:numId w:val="2"/>
              </w:numPr>
              <w:jc w:val="both"/>
              <w:rPr>
                <w:rFonts w:cs="Arial"/>
                <w:sz w:val="22"/>
                <w:szCs w:val="22"/>
              </w:rPr>
            </w:pPr>
            <w:r w:rsidRPr="00D05B67">
              <w:rPr>
                <w:rFonts w:cs="Arial"/>
                <w:b/>
                <w:sz w:val="22"/>
                <w:szCs w:val="22"/>
              </w:rPr>
              <w:t>ESTUDIOS TÉCNICOS QUE SUSTENTEN EL PROYECTO NORMATIVO</w:t>
            </w:r>
            <w:r>
              <w:rPr>
                <w:rFonts w:cs="Arial"/>
                <w:sz w:val="22"/>
                <w:szCs w:val="22"/>
              </w:rPr>
              <w:t xml:space="preserve"> (Si cuenta con ellos)</w:t>
            </w:r>
            <w:r w:rsidR="00696582" w:rsidRPr="009F7CED">
              <w:rPr>
                <w:rFonts w:cs="Arial"/>
                <w:sz w:val="22"/>
                <w:szCs w:val="22"/>
              </w:rPr>
              <w:t xml:space="preserve"> </w:t>
            </w:r>
          </w:p>
        </w:tc>
      </w:tr>
      <w:tr w:rsidR="00DF60FD" w:rsidRPr="009F7CED" w14:paraId="2A53535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14189E0" w14:textId="450C0491" w:rsidR="00843EFF" w:rsidRPr="008C28AE" w:rsidRDefault="005E6B9D" w:rsidP="00A161B9">
            <w:pPr>
              <w:rPr>
                <w:rFonts w:cs="Arial"/>
                <w:color w:val="000000"/>
                <w:sz w:val="22"/>
                <w:szCs w:val="22"/>
              </w:rPr>
            </w:pPr>
            <w:r>
              <w:rPr>
                <w:rFonts w:cs="Arial"/>
                <w:color w:val="000000"/>
                <w:sz w:val="22"/>
                <w:szCs w:val="22"/>
              </w:rPr>
              <w:t xml:space="preserve">Se incluyen </w:t>
            </w:r>
            <w:r w:rsidR="00545A8F">
              <w:rPr>
                <w:rFonts w:cs="Arial"/>
                <w:color w:val="000000"/>
                <w:sz w:val="22"/>
                <w:szCs w:val="22"/>
              </w:rPr>
              <w:t xml:space="preserve">como anexos </w:t>
            </w:r>
            <w:r>
              <w:rPr>
                <w:rFonts w:cs="Arial"/>
                <w:color w:val="000000"/>
                <w:sz w:val="22"/>
                <w:szCs w:val="22"/>
              </w:rPr>
              <w:t xml:space="preserve">los </w:t>
            </w:r>
            <w:r w:rsidR="00545A8F">
              <w:rPr>
                <w:rFonts w:cs="Arial"/>
                <w:color w:val="000000"/>
                <w:sz w:val="22"/>
                <w:szCs w:val="22"/>
              </w:rPr>
              <w:t>documentos soporte</w:t>
            </w:r>
            <w:r>
              <w:rPr>
                <w:rFonts w:cs="Arial"/>
                <w:color w:val="000000"/>
                <w:sz w:val="22"/>
                <w:szCs w:val="22"/>
              </w:rPr>
              <w:t xml:space="preserve"> que respaldan la definición de los cupos y recursos del </w:t>
            </w:r>
            <w:r w:rsidR="00545A8F">
              <w:rPr>
                <w:rFonts w:cs="Arial"/>
                <w:color w:val="000000"/>
                <w:sz w:val="22"/>
                <w:szCs w:val="22"/>
              </w:rPr>
              <w:t>p</w:t>
            </w:r>
            <w:r>
              <w:rPr>
                <w:rFonts w:cs="Arial"/>
                <w:color w:val="000000"/>
                <w:sz w:val="22"/>
                <w:szCs w:val="22"/>
              </w:rPr>
              <w:t>rograma de Protección Social al Adulto Mayor – Colombia Mayor desde la vigencia 2019, los cuales exponen el incremento paulatino que ha tenido el programa en su cobertura durante el actual periodo de gobierno, pasando de beneficiar a 1.678.586 adultos mayores al final de la vigencia 2019 a beneficiar a 1.722.345</w:t>
            </w:r>
            <w:r w:rsidR="004D4161">
              <w:rPr>
                <w:rFonts w:cs="Arial"/>
                <w:color w:val="000000"/>
                <w:sz w:val="22"/>
                <w:szCs w:val="22"/>
              </w:rPr>
              <w:t>.</w:t>
            </w:r>
            <w:r>
              <w:rPr>
                <w:rFonts w:cs="Arial"/>
                <w:color w:val="000000"/>
                <w:sz w:val="22"/>
                <w:szCs w:val="22"/>
              </w:rPr>
              <w:t xml:space="preserve"> </w:t>
            </w:r>
            <w:r w:rsidR="004D4161">
              <w:rPr>
                <w:rFonts w:cs="Arial"/>
                <w:color w:val="000000"/>
                <w:sz w:val="22"/>
                <w:szCs w:val="22"/>
              </w:rPr>
              <w:t>en 2021</w:t>
            </w:r>
          </w:p>
        </w:tc>
      </w:tr>
      <w:tr w:rsidR="00DF60FD" w:rsidRPr="009F7CED" w14:paraId="72405646"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9A8227F" w14:textId="77777777" w:rsidR="00DF60FD" w:rsidRPr="009F7CED" w:rsidRDefault="00DF60FD" w:rsidP="00843EFF">
            <w:pPr>
              <w:jc w:val="center"/>
              <w:rPr>
                <w:rFonts w:cs="Arial"/>
                <w:sz w:val="22"/>
                <w:szCs w:val="22"/>
                <w:u w:val="single"/>
              </w:rPr>
            </w:pPr>
          </w:p>
        </w:tc>
      </w:tr>
      <w:tr w:rsidR="00DF60FD" w:rsidRPr="00D965B1" w14:paraId="4A9C65DC" w14:textId="77777777" w:rsidTr="00696582">
        <w:trPr>
          <w:trHeight w:val="416"/>
        </w:trPr>
        <w:tc>
          <w:tcPr>
            <w:tcW w:w="10774" w:type="dxa"/>
            <w:gridSpan w:val="3"/>
            <w:tcBorders>
              <w:top w:val="single" w:sz="4" w:space="0" w:color="auto"/>
              <w:bottom w:val="single" w:sz="4" w:space="0" w:color="auto"/>
            </w:tcBorders>
            <w:shd w:val="clear" w:color="auto" w:fill="5B8AFF"/>
            <w:vAlign w:val="center"/>
          </w:tcPr>
          <w:p w14:paraId="293AAA1A" w14:textId="77777777" w:rsidR="00F55DC4" w:rsidRPr="00D965B1" w:rsidRDefault="00DF60FD" w:rsidP="00696582">
            <w:pPr>
              <w:jc w:val="center"/>
              <w:rPr>
                <w:rFonts w:cs="Arial"/>
                <w:color w:val="FFFFFF"/>
                <w:sz w:val="22"/>
                <w:szCs w:val="22"/>
              </w:rPr>
            </w:pPr>
            <w:r w:rsidRPr="00D965B1">
              <w:rPr>
                <w:rFonts w:cs="Arial"/>
                <w:b/>
                <w:color w:val="FFFFFF"/>
                <w:sz w:val="22"/>
                <w:szCs w:val="22"/>
              </w:rPr>
              <w:t>ANEXOS</w:t>
            </w:r>
            <w:r w:rsidR="00D05B67" w:rsidRPr="00D965B1">
              <w:rPr>
                <w:rFonts w:cs="Arial"/>
                <w:b/>
                <w:color w:val="FFFFFF"/>
                <w:sz w:val="22"/>
                <w:szCs w:val="22"/>
              </w:rPr>
              <w:t>:</w:t>
            </w:r>
            <w:r w:rsidR="00696582" w:rsidRPr="00D965B1">
              <w:rPr>
                <w:rFonts w:cs="Arial"/>
                <w:color w:val="FFFFFF"/>
                <w:sz w:val="22"/>
                <w:szCs w:val="22"/>
              </w:rPr>
              <w:t xml:space="preserve"> </w:t>
            </w:r>
          </w:p>
        </w:tc>
      </w:tr>
      <w:tr w:rsidR="00D05B67" w:rsidRPr="009F7CED" w14:paraId="2DCD311D"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CFC8E86" w14:textId="77777777" w:rsidR="00D05B67" w:rsidRDefault="00D05B67" w:rsidP="00D05B67">
            <w:pPr>
              <w:jc w:val="both"/>
              <w:rPr>
                <w:rFonts w:cs="Arial"/>
                <w:sz w:val="22"/>
                <w:szCs w:val="22"/>
              </w:rPr>
            </w:pPr>
            <w:r>
              <w:rPr>
                <w:rFonts w:cs="Arial"/>
                <w:sz w:val="22"/>
                <w:szCs w:val="22"/>
              </w:rPr>
              <w:t xml:space="preserve">Certificación de cumplimiento de requisitos de consulta, publicidad y de incorporación en la agenda regulatoria </w:t>
            </w:r>
          </w:p>
          <w:p w14:paraId="2FF49035" w14:textId="77777777" w:rsidR="00D05B67" w:rsidRPr="00084B49" w:rsidRDefault="00D05B67" w:rsidP="00D05B67">
            <w:pPr>
              <w:jc w:val="both"/>
              <w:rPr>
                <w:rFonts w:cs="Arial"/>
                <w:i/>
                <w:color w:val="808080"/>
                <w:sz w:val="22"/>
                <w:szCs w:val="22"/>
              </w:rPr>
            </w:pPr>
            <w:r w:rsidRPr="00084B49">
              <w:rPr>
                <w:rFonts w:cs="Arial"/>
                <w:i/>
                <w:color w:val="808080"/>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544D1FE3" w14:textId="1C8DF572" w:rsidR="00D05B67" w:rsidRPr="00084B49" w:rsidRDefault="00F32551" w:rsidP="0041582B">
            <w:pPr>
              <w:jc w:val="center"/>
              <w:rPr>
                <w:rFonts w:cs="Arial"/>
                <w:i/>
                <w:color w:val="808080"/>
                <w:sz w:val="22"/>
                <w:szCs w:val="22"/>
              </w:rPr>
            </w:pPr>
            <w:r>
              <w:rPr>
                <w:rFonts w:cs="Arial"/>
                <w:i/>
                <w:color w:val="808080"/>
                <w:sz w:val="22"/>
                <w:szCs w:val="22"/>
              </w:rPr>
              <w:t>X</w:t>
            </w:r>
          </w:p>
        </w:tc>
      </w:tr>
      <w:tr w:rsidR="00D05B67" w:rsidRPr="009F7CED" w14:paraId="2484643D"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3E203B9" w14:textId="77777777" w:rsidR="00D05B67" w:rsidRDefault="00D05B67" w:rsidP="00D05B67">
            <w:pPr>
              <w:jc w:val="both"/>
              <w:rPr>
                <w:rFonts w:cs="Arial"/>
                <w:sz w:val="22"/>
                <w:szCs w:val="22"/>
              </w:rPr>
            </w:pPr>
            <w:r>
              <w:rPr>
                <w:rFonts w:cs="Arial"/>
                <w:sz w:val="22"/>
                <w:szCs w:val="22"/>
              </w:rPr>
              <w:t>Concepto</w:t>
            </w:r>
            <w:r w:rsidR="005F30C3">
              <w:rPr>
                <w:rFonts w:cs="Arial"/>
                <w:sz w:val="22"/>
                <w:szCs w:val="22"/>
              </w:rPr>
              <w:t>(s)</w:t>
            </w:r>
            <w:r>
              <w:rPr>
                <w:rFonts w:cs="Arial"/>
                <w:sz w:val="22"/>
                <w:szCs w:val="22"/>
              </w:rPr>
              <w:t xml:space="preserve"> de Min</w:t>
            </w:r>
            <w:r w:rsidR="005F30C3">
              <w:rPr>
                <w:rFonts w:cs="Arial"/>
                <w:sz w:val="22"/>
                <w:szCs w:val="22"/>
              </w:rPr>
              <w:t>isterio de</w:t>
            </w:r>
            <w:r>
              <w:rPr>
                <w:rFonts w:cs="Arial"/>
                <w:sz w:val="22"/>
                <w:szCs w:val="22"/>
              </w:rPr>
              <w:t xml:space="preserve"> Comercio</w:t>
            </w:r>
            <w:r w:rsidR="005F30C3">
              <w:rPr>
                <w:rFonts w:cs="Arial"/>
                <w:sz w:val="22"/>
                <w:szCs w:val="22"/>
              </w:rPr>
              <w:t>, Industria y Turismo</w:t>
            </w:r>
          </w:p>
          <w:p w14:paraId="00B5900D" w14:textId="77777777" w:rsidR="00D05B67" w:rsidRPr="00084B49" w:rsidRDefault="005F30C3" w:rsidP="00D05B67">
            <w:pPr>
              <w:jc w:val="both"/>
              <w:rPr>
                <w:rFonts w:cs="Arial"/>
                <w:i/>
                <w:color w:val="808080"/>
                <w:sz w:val="22"/>
                <w:szCs w:val="22"/>
              </w:rPr>
            </w:pPr>
            <w:r w:rsidRPr="00084B49">
              <w:rPr>
                <w:rFonts w:cs="Arial"/>
                <w:i/>
                <w:color w:val="808080"/>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5063ECE8" w14:textId="6FB32587" w:rsidR="00D05B67" w:rsidRDefault="00A06FC3" w:rsidP="00D05B67">
            <w:pPr>
              <w:jc w:val="both"/>
              <w:rPr>
                <w:rFonts w:cs="Arial"/>
                <w:sz w:val="22"/>
                <w:szCs w:val="22"/>
              </w:rPr>
            </w:pPr>
            <w:r>
              <w:rPr>
                <w:rFonts w:cs="Arial"/>
                <w:i/>
                <w:color w:val="808080"/>
                <w:sz w:val="22"/>
                <w:szCs w:val="22"/>
              </w:rPr>
              <w:t>No aplica</w:t>
            </w:r>
          </w:p>
        </w:tc>
      </w:tr>
      <w:tr w:rsidR="005F30C3" w:rsidRPr="009F7CED" w14:paraId="6371DCD8"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60642F1" w14:textId="77777777" w:rsidR="005F30C3" w:rsidRDefault="005F30C3" w:rsidP="00D05B67">
            <w:pPr>
              <w:jc w:val="both"/>
              <w:rPr>
                <w:rFonts w:cs="Arial"/>
                <w:sz w:val="22"/>
                <w:szCs w:val="22"/>
              </w:rPr>
            </w:pPr>
            <w:r>
              <w:rPr>
                <w:rFonts w:cs="Arial"/>
                <w:sz w:val="22"/>
                <w:szCs w:val="22"/>
              </w:rPr>
              <w:t xml:space="preserve">Informe de observaciones y respuestas </w:t>
            </w:r>
          </w:p>
          <w:p w14:paraId="3942D5AB" w14:textId="77777777" w:rsidR="005F30C3" w:rsidRPr="00084B49" w:rsidRDefault="005F30C3" w:rsidP="00D05B67">
            <w:pPr>
              <w:jc w:val="both"/>
              <w:rPr>
                <w:rFonts w:cs="Arial"/>
                <w:i/>
                <w:color w:val="808080"/>
                <w:sz w:val="22"/>
                <w:szCs w:val="22"/>
              </w:rPr>
            </w:pPr>
            <w:r w:rsidRPr="00084B49">
              <w:rPr>
                <w:rFonts w:cs="Arial"/>
                <w:i/>
                <w:color w:val="808080"/>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40BCADA" w14:textId="0D0DDDAD" w:rsidR="005F30C3" w:rsidRDefault="00F32551" w:rsidP="0041582B">
            <w:pPr>
              <w:jc w:val="center"/>
              <w:rPr>
                <w:rFonts w:cs="Arial"/>
                <w:sz w:val="22"/>
                <w:szCs w:val="22"/>
              </w:rPr>
            </w:pPr>
            <w:r>
              <w:rPr>
                <w:rFonts w:cs="Arial"/>
                <w:i/>
                <w:color w:val="808080"/>
                <w:sz w:val="22"/>
                <w:szCs w:val="22"/>
              </w:rPr>
              <w:t>X</w:t>
            </w:r>
          </w:p>
        </w:tc>
      </w:tr>
      <w:tr w:rsidR="005F30C3" w:rsidRPr="009F7CED" w14:paraId="5C7421DC"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2322788" w14:textId="77777777" w:rsidR="005F30C3" w:rsidRDefault="005F30C3" w:rsidP="00D05B67">
            <w:pPr>
              <w:jc w:val="both"/>
              <w:rPr>
                <w:rFonts w:cs="Arial"/>
                <w:sz w:val="22"/>
                <w:szCs w:val="22"/>
              </w:rPr>
            </w:pPr>
            <w:r>
              <w:rPr>
                <w:rFonts w:cs="Arial"/>
                <w:sz w:val="22"/>
                <w:szCs w:val="22"/>
              </w:rPr>
              <w:t>Concepto de Abogacía de la Competencia de la Superintendencia de Industria y Comercio</w:t>
            </w:r>
          </w:p>
          <w:p w14:paraId="792356CF" w14:textId="77777777" w:rsidR="005F30C3" w:rsidRPr="00084B49" w:rsidRDefault="005F30C3" w:rsidP="00D05B67">
            <w:pPr>
              <w:jc w:val="both"/>
              <w:rPr>
                <w:rFonts w:cs="Arial"/>
                <w:i/>
                <w:color w:val="808080"/>
                <w:sz w:val="22"/>
                <w:szCs w:val="22"/>
              </w:rPr>
            </w:pPr>
            <w:r w:rsidRPr="00084B49">
              <w:rPr>
                <w:rFonts w:cs="Arial"/>
                <w:i/>
                <w:color w:val="808080"/>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5BC62B33" w14:textId="738819CA" w:rsidR="005F30C3" w:rsidRDefault="00A06FC3" w:rsidP="00D05B67">
            <w:pPr>
              <w:jc w:val="both"/>
              <w:rPr>
                <w:rFonts w:cs="Arial"/>
                <w:sz w:val="22"/>
                <w:szCs w:val="22"/>
              </w:rPr>
            </w:pPr>
            <w:r>
              <w:rPr>
                <w:rFonts w:cs="Arial"/>
                <w:i/>
                <w:color w:val="808080"/>
                <w:sz w:val="22"/>
                <w:szCs w:val="22"/>
              </w:rPr>
              <w:t>No aplica</w:t>
            </w:r>
          </w:p>
        </w:tc>
      </w:tr>
      <w:tr w:rsidR="005F30C3" w:rsidRPr="009F7CED" w14:paraId="0B667474"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E43E90F" w14:textId="77777777" w:rsidR="005F30C3" w:rsidRDefault="005F30C3" w:rsidP="00D05B67">
            <w:pPr>
              <w:jc w:val="both"/>
              <w:rPr>
                <w:rFonts w:cs="Arial"/>
                <w:sz w:val="22"/>
                <w:szCs w:val="22"/>
              </w:rPr>
            </w:pPr>
            <w:r>
              <w:rPr>
                <w:rFonts w:cs="Arial"/>
                <w:sz w:val="22"/>
                <w:szCs w:val="22"/>
              </w:rPr>
              <w:t>Concepto de aprobación nuevos trámites del Departamento Administrativo de la Función Pública</w:t>
            </w:r>
          </w:p>
          <w:p w14:paraId="3E50D31E" w14:textId="77777777" w:rsidR="005F30C3" w:rsidRDefault="005F30C3" w:rsidP="00D05B67">
            <w:pPr>
              <w:jc w:val="both"/>
              <w:rPr>
                <w:rFonts w:cs="Arial"/>
                <w:sz w:val="22"/>
                <w:szCs w:val="22"/>
              </w:rPr>
            </w:pPr>
            <w:r w:rsidRPr="00084B49">
              <w:rPr>
                <w:rFonts w:cs="Arial"/>
                <w:i/>
                <w:color w:val="808080"/>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3DC00AAD" w14:textId="4752502C" w:rsidR="005F30C3" w:rsidRDefault="00A06FC3" w:rsidP="00D05B67">
            <w:pPr>
              <w:jc w:val="both"/>
              <w:rPr>
                <w:rFonts w:cs="Arial"/>
                <w:sz w:val="22"/>
                <w:szCs w:val="22"/>
              </w:rPr>
            </w:pPr>
            <w:r>
              <w:rPr>
                <w:rFonts w:cs="Arial"/>
                <w:i/>
                <w:color w:val="808080"/>
                <w:sz w:val="22"/>
                <w:szCs w:val="22"/>
              </w:rPr>
              <w:t>No aplica</w:t>
            </w:r>
          </w:p>
        </w:tc>
      </w:tr>
      <w:tr w:rsidR="005F30C3" w:rsidRPr="009F7CED" w14:paraId="21B86B1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48E454D" w14:textId="77777777" w:rsidR="005F30C3" w:rsidRDefault="005F30C3" w:rsidP="00084B49">
            <w:pPr>
              <w:jc w:val="both"/>
              <w:rPr>
                <w:rFonts w:cs="Arial"/>
                <w:sz w:val="22"/>
                <w:szCs w:val="22"/>
              </w:rPr>
            </w:pPr>
            <w:r>
              <w:rPr>
                <w:rFonts w:cs="Arial"/>
                <w:sz w:val="22"/>
                <w:szCs w:val="22"/>
              </w:rPr>
              <w:t xml:space="preserve">Otro </w:t>
            </w:r>
          </w:p>
          <w:p w14:paraId="11059FE6" w14:textId="47F6F49D" w:rsidR="005F30C3" w:rsidRDefault="007B67A2" w:rsidP="00084B49">
            <w:pPr>
              <w:jc w:val="both"/>
              <w:rPr>
                <w:rFonts w:cs="Arial"/>
                <w:sz w:val="22"/>
                <w:szCs w:val="22"/>
              </w:rPr>
            </w:pPr>
            <w:r>
              <w:rPr>
                <w:rFonts w:cs="Arial"/>
                <w:i/>
                <w:color w:val="808080"/>
                <w:szCs w:val="22"/>
              </w:rPr>
              <w:t xml:space="preserve">Anexo de valores y asignación de cupos </w:t>
            </w:r>
          </w:p>
        </w:tc>
        <w:tc>
          <w:tcPr>
            <w:tcW w:w="3119" w:type="dxa"/>
            <w:tcBorders>
              <w:top w:val="single" w:sz="4" w:space="0" w:color="auto"/>
              <w:left w:val="single" w:sz="4" w:space="0" w:color="auto"/>
              <w:bottom w:val="single" w:sz="4" w:space="0" w:color="auto"/>
            </w:tcBorders>
            <w:shd w:val="clear" w:color="auto" w:fill="FFFFFF"/>
            <w:vAlign w:val="center"/>
          </w:tcPr>
          <w:p w14:paraId="1FD3F706" w14:textId="6F925375" w:rsidR="005F30C3" w:rsidRDefault="007B67A2" w:rsidP="0041582B">
            <w:pPr>
              <w:jc w:val="center"/>
              <w:rPr>
                <w:rFonts w:cs="Arial"/>
                <w:sz w:val="22"/>
                <w:szCs w:val="22"/>
              </w:rPr>
            </w:pPr>
            <w:r>
              <w:rPr>
                <w:rFonts w:cs="Arial"/>
                <w:i/>
                <w:color w:val="808080"/>
                <w:sz w:val="22"/>
                <w:szCs w:val="22"/>
              </w:rPr>
              <w:t>X</w:t>
            </w:r>
          </w:p>
        </w:tc>
      </w:tr>
    </w:tbl>
    <w:p w14:paraId="3AEFFC09" w14:textId="77777777" w:rsidR="00301DC2" w:rsidRPr="009F7CED" w:rsidRDefault="00301DC2" w:rsidP="00587695">
      <w:pPr>
        <w:ind w:right="-377"/>
        <w:jc w:val="both"/>
        <w:rPr>
          <w:rFonts w:cs="Arial"/>
          <w:sz w:val="22"/>
          <w:szCs w:val="22"/>
        </w:rPr>
      </w:pPr>
    </w:p>
    <w:p w14:paraId="5820464C" w14:textId="00CD1525" w:rsidR="00F16839" w:rsidRPr="00DC0532" w:rsidRDefault="000B30A6" w:rsidP="00DC053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6935BB68" w14:textId="77777777" w:rsidR="00014D67" w:rsidRPr="009F7CED" w:rsidRDefault="00014D67" w:rsidP="00086B16">
      <w:pPr>
        <w:ind w:left="-1276" w:right="-377"/>
        <w:jc w:val="both"/>
        <w:rPr>
          <w:rFonts w:cs="Arial"/>
          <w:sz w:val="22"/>
          <w:szCs w:val="22"/>
        </w:rPr>
      </w:pPr>
    </w:p>
    <w:p w14:paraId="4D6370E7" w14:textId="264EF171" w:rsidR="00D05B67" w:rsidRDefault="00D05B67" w:rsidP="00D05B67">
      <w:pPr>
        <w:pStyle w:val="Listavistosa-nfasis11"/>
        <w:jc w:val="both"/>
        <w:rPr>
          <w:rFonts w:ascii="Arial" w:hAnsi="Arial" w:cs="Arial"/>
          <w:b/>
        </w:rPr>
      </w:pPr>
      <w:r>
        <w:rPr>
          <w:rFonts w:ascii="Arial" w:hAnsi="Arial" w:cs="Arial"/>
          <w:b/>
        </w:rPr>
        <w:t>________</w:t>
      </w:r>
      <w:r w:rsidR="00A06FC3">
        <w:rPr>
          <w:rFonts w:ascii="Arial" w:hAnsi="Arial" w:cs="Arial"/>
          <w:b/>
        </w:rPr>
        <w:t>______________</w:t>
      </w:r>
      <w:r>
        <w:rPr>
          <w:rFonts w:ascii="Arial" w:hAnsi="Arial" w:cs="Arial"/>
          <w:b/>
        </w:rPr>
        <w:t>_________</w:t>
      </w:r>
    </w:p>
    <w:p w14:paraId="7A48FD78" w14:textId="79181579" w:rsidR="00A06FC3" w:rsidRDefault="00545A8F" w:rsidP="00696582">
      <w:pPr>
        <w:pStyle w:val="Listavistosa-nfasis11"/>
        <w:rPr>
          <w:rFonts w:ascii="Arial" w:hAnsi="Arial" w:cs="Arial"/>
          <w:b/>
        </w:rPr>
      </w:pPr>
      <w:r>
        <w:rPr>
          <w:rFonts w:ascii="Arial" w:hAnsi="Arial" w:cs="Arial"/>
          <w:b/>
        </w:rPr>
        <w:t>OMAR ALBERTO BARÓN AVENDAÑO</w:t>
      </w:r>
    </w:p>
    <w:p w14:paraId="7AEF2BE0" w14:textId="4F85CE18" w:rsidR="00D05B67" w:rsidRDefault="00D05B67" w:rsidP="00696582">
      <w:pPr>
        <w:pStyle w:val="Listavistosa-nfasis11"/>
        <w:rPr>
          <w:rFonts w:ascii="Arial" w:hAnsi="Arial" w:cs="Arial"/>
          <w:b/>
        </w:rPr>
      </w:pPr>
      <w:r>
        <w:rPr>
          <w:rFonts w:ascii="Arial" w:hAnsi="Arial" w:cs="Arial"/>
          <w:b/>
        </w:rPr>
        <w:t xml:space="preserve">Jefe de la Oficina </w:t>
      </w:r>
      <w:r w:rsidR="00957C96">
        <w:rPr>
          <w:rFonts w:ascii="Arial" w:hAnsi="Arial" w:cs="Arial"/>
          <w:b/>
        </w:rPr>
        <w:t xml:space="preserve">Asesora </w:t>
      </w:r>
      <w:r>
        <w:rPr>
          <w:rFonts w:ascii="Arial" w:hAnsi="Arial" w:cs="Arial"/>
          <w:b/>
        </w:rPr>
        <w:t xml:space="preserve">Jurídica </w:t>
      </w:r>
      <w:r w:rsidR="00545A8F">
        <w:rPr>
          <w:rFonts w:ascii="Arial" w:hAnsi="Arial" w:cs="Arial"/>
          <w:b/>
        </w:rPr>
        <w:t>(e)</w:t>
      </w:r>
    </w:p>
    <w:p w14:paraId="2636AD6A" w14:textId="77777777" w:rsidR="00D05B67" w:rsidRDefault="00D05B67" w:rsidP="00DC0532">
      <w:pPr>
        <w:pStyle w:val="Listavistosa-nfasis11"/>
        <w:ind w:left="0"/>
        <w:rPr>
          <w:rFonts w:ascii="Arial" w:hAnsi="Arial" w:cs="Arial"/>
          <w:b/>
        </w:rPr>
      </w:pPr>
    </w:p>
    <w:p w14:paraId="1AA78145" w14:textId="54DCDD23" w:rsidR="006779DA" w:rsidRDefault="006779DA" w:rsidP="00957C96">
      <w:pPr>
        <w:pStyle w:val="Listavistosa-nfasis11"/>
        <w:ind w:left="0"/>
        <w:rPr>
          <w:rFonts w:ascii="Arial" w:hAnsi="Arial" w:cs="Arial"/>
          <w:b/>
        </w:rPr>
      </w:pPr>
    </w:p>
    <w:p w14:paraId="381C5B30" w14:textId="4C78A60E" w:rsidR="00957C96" w:rsidRPr="00523FCC" w:rsidRDefault="00523FCC" w:rsidP="0041582B">
      <w:pPr>
        <w:pStyle w:val="Listavistosa-nfasis11"/>
        <w:ind w:left="0"/>
        <w:rPr>
          <w:rFonts w:ascii="Arial" w:hAnsi="Arial" w:cs="Arial"/>
          <w:bCs/>
          <w:sz w:val="18"/>
          <w:szCs w:val="18"/>
        </w:rPr>
      </w:pPr>
      <w:r w:rsidRPr="00523FCC">
        <w:rPr>
          <w:rFonts w:ascii="Arial" w:hAnsi="Arial" w:cs="Arial"/>
          <w:bCs/>
          <w:sz w:val="18"/>
          <w:szCs w:val="18"/>
        </w:rPr>
        <w:t>Proyectó: GIT Seguimiento a Nuevos Programas</w:t>
      </w:r>
    </w:p>
    <w:p w14:paraId="4B875741" w14:textId="5A558585" w:rsidR="00523FCC" w:rsidRPr="00523FCC" w:rsidRDefault="00523FCC" w:rsidP="0041582B">
      <w:pPr>
        <w:pStyle w:val="Listavistosa-nfasis11"/>
        <w:ind w:left="0"/>
        <w:rPr>
          <w:rFonts w:ascii="Arial" w:hAnsi="Arial" w:cs="Arial"/>
          <w:bCs/>
          <w:sz w:val="18"/>
          <w:szCs w:val="18"/>
        </w:rPr>
      </w:pPr>
      <w:r w:rsidRPr="00523FCC">
        <w:rPr>
          <w:rFonts w:ascii="Arial" w:hAnsi="Arial" w:cs="Arial"/>
          <w:bCs/>
          <w:sz w:val="18"/>
          <w:szCs w:val="18"/>
        </w:rPr>
        <w:t>Revisó: Oficina Asesora Jurídica</w:t>
      </w:r>
    </w:p>
    <w:sectPr w:rsidR="00523FCC" w:rsidRPr="00523FCC" w:rsidSect="00696582">
      <w:headerReference w:type="default" r:id="rId12"/>
      <w:footerReference w:type="default" r:id="rId13"/>
      <w:headerReference w:type="first" r:id="rId14"/>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68F4D" w14:textId="77777777" w:rsidR="00AD0715" w:rsidRDefault="00AD0715">
      <w:r>
        <w:separator/>
      </w:r>
    </w:p>
  </w:endnote>
  <w:endnote w:type="continuationSeparator" w:id="0">
    <w:p w14:paraId="797D7116" w14:textId="77777777" w:rsidR="00AD0715" w:rsidRDefault="00AD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ork Sans">
    <w:altName w:val="Cambria"/>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altName w:val="﷽﷽﷽﷽﷽﷽飰ᑏ"/>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14D8"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751B5DE2"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8F03E" w14:textId="77777777" w:rsidR="00AD0715" w:rsidRDefault="00AD0715">
      <w:r>
        <w:separator/>
      </w:r>
    </w:p>
  </w:footnote>
  <w:footnote w:type="continuationSeparator" w:id="0">
    <w:p w14:paraId="731C032F" w14:textId="77777777" w:rsidR="00AD0715" w:rsidRDefault="00AD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66CD"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62E06DDA" w14:textId="77777777" w:rsidTr="001447C1">
      <w:tc>
        <w:tcPr>
          <w:tcW w:w="4253" w:type="dxa"/>
          <w:shd w:val="clear" w:color="auto" w:fill="auto"/>
        </w:tcPr>
        <w:p w14:paraId="0D9F7874" w14:textId="77777777" w:rsidR="00696582" w:rsidRDefault="00311004" w:rsidP="001447C1">
          <w:pPr>
            <w:pStyle w:val="Encabezado"/>
          </w:pPr>
          <w:r w:rsidRPr="00D965B1">
            <w:rPr>
              <w:noProof/>
              <w:lang w:val="es-ES_tradnl" w:eastAsia="es-ES_tradnl"/>
            </w:rPr>
            <w:drawing>
              <wp:inline distT="0" distB="0" distL="0" distR="0" wp14:anchorId="779AD6ED" wp14:editId="0A342C0D">
                <wp:extent cx="2562225" cy="546735"/>
                <wp:effectExtent l="0" t="0" r="0" b="0"/>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6735"/>
                        </a:xfrm>
                        <a:prstGeom prst="rect">
                          <a:avLst/>
                        </a:prstGeom>
                        <a:noFill/>
                        <a:ln>
                          <a:noFill/>
                        </a:ln>
                      </pic:spPr>
                    </pic:pic>
                  </a:graphicData>
                </a:graphic>
              </wp:inline>
            </w:drawing>
          </w:r>
        </w:p>
      </w:tc>
      <w:tc>
        <w:tcPr>
          <w:tcW w:w="6545" w:type="dxa"/>
          <w:shd w:val="clear" w:color="auto" w:fill="auto"/>
          <w:vAlign w:val="center"/>
        </w:tcPr>
        <w:p w14:paraId="39DCB389"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56E3314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61130488" w14:textId="77777777" w:rsidTr="00FD3D04">
      <w:tc>
        <w:tcPr>
          <w:tcW w:w="4253" w:type="dxa"/>
          <w:shd w:val="clear" w:color="auto" w:fill="auto"/>
        </w:tcPr>
        <w:p w14:paraId="79748A4A" w14:textId="77777777" w:rsidR="00350767" w:rsidRDefault="00311004">
          <w:pPr>
            <w:pStyle w:val="Encabezado"/>
          </w:pPr>
          <w:r w:rsidRPr="00D965B1">
            <w:rPr>
              <w:noProof/>
              <w:lang w:val="es-ES_tradnl" w:eastAsia="es-ES_tradnl"/>
            </w:rPr>
            <w:drawing>
              <wp:inline distT="0" distB="0" distL="0" distR="0" wp14:anchorId="0E8A9C35" wp14:editId="76975A8B">
                <wp:extent cx="2562225" cy="546735"/>
                <wp:effectExtent l="0" t="0" r="0" b="0"/>
                <wp:docPr id="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6735"/>
                        </a:xfrm>
                        <a:prstGeom prst="rect">
                          <a:avLst/>
                        </a:prstGeom>
                        <a:noFill/>
                        <a:ln>
                          <a:noFill/>
                        </a:ln>
                      </pic:spPr>
                    </pic:pic>
                  </a:graphicData>
                </a:graphic>
              </wp:inline>
            </w:drawing>
          </w:r>
        </w:p>
      </w:tc>
      <w:tc>
        <w:tcPr>
          <w:tcW w:w="6545" w:type="dxa"/>
          <w:shd w:val="clear" w:color="auto" w:fill="auto"/>
          <w:vAlign w:val="center"/>
        </w:tcPr>
        <w:p w14:paraId="06EA2ED3"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31A1B1DE"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CF7DFB"/>
    <w:multiLevelType w:val="hybridMultilevel"/>
    <w:tmpl w:val="DB2844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A4D09DE"/>
    <w:multiLevelType w:val="hybridMultilevel"/>
    <w:tmpl w:val="5B26163E"/>
    <w:lvl w:ilvl="0" w:tplc="450659AC">
      <w:start w:val="7"/>
      <w:numFmt w:val="bullet"/>
      <w:lvlText w:val="-"/>
      <w:lvlJc w:val="left"/>
      <w:pPr>
        <w:ind w:left="720" w:hanging="360"/>
      </w:pPr>
      <w:rPr>
        <w:rFonts w:ascii="Work Sans" w:eastAsia="Verdana" w:hAnsi="Work Sans" w:cs="Verdana" w:hint="default"/>
        <w:color w:val="auto"/>
        <w:sz w:val="23"/>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D67"/>
    <w:rsid w:val="00016A94"/>
    <w:rsid w:val="00021FCC"/>
    <w:rsid w:val="00023868"/>
    <w:rsid w:val="00024F34"/>
    <w:rsid w:val="0002546A"/>
    <w:rsid w:val="00032CBF"/>
    <w:rsid w:val="00040BCD"/>
    <w:rsid w:val="0004205E"/>
    <w:rsid w:val="00046868"/>
    <w:rsid w:val="00047A6E"/>
    <w:rsid w:val="00050524"/>
    <w:rsid w:val="00066463"/>
    <w:rsid w:val="0007636F"/>
    <w:rsid w:val="00081CEE"/>
    <w:rsid w:val="00084B49"/>
    <w:rsid w:val="00086B16"/>
    <w:rsid w:val="00092C0A"/>
    <w:rsid w:val="00094D9F"/>
    <w:rsid w:val="000A35DA"/>
    <w:rsid w:val="000A3E34"/>
    <w:rsid w:val="000B30A6"/>
    <w:rsid w:val="000B39C5"/>
    <w:rsid w:val="000B50F1"/>
    <w:rsid w:val="000C39FC"/>
    <w:rsid w:val="000C41BE"/>
    <w:rsid w:val="000C614C"/>
    <w:rsid w:val="000C6C52"/>
    <w:rsid w:val="000D1904"/>
    <w:rsid w:val="000D2DA8"/>
    <w:rsid w:val="000D3B1A"/>
    <w:rsid w:val="000D512E"/>
    <w:rsid w:val="000E0152"/>
    <w:rsid w:val="000E370D"/>
    <w:rsid w:val="000E65A4"/>
    <w:rsid w:val="000E7993"/>
    <w:rsid w:val="000F0328"/>
    <w:rsid w:val="000F119B"/>
    <w:rsid w:val="00105533"/>
    <w:rsid w:val="001072FB"/>
    <w:rsid w:val="0011389B"/>
    <w:rsid w:val="00116659"/>
    <w:rsid w:val="001175AA"/>
    <w:rsid w:val="0012574D"/>
    <w:rsid w:val="00125A3A"/>
    <w:rsid w:val="00126916"/>
    <w:rsid w:val="00126980"/>
    <w:rsid w:val="001303DD"/>
    <w:rsid w:val="001348DA"/>
    <w:rsid w:val="00134B8C"/>
    <w:rsid w:val="001365B5"/>
    <w:rsid w:val="00136CD0"/>
    <w:rsid w:val="0013737F"/>
    <w:rsid w:val="001404D7"/>
    <w:rsid w:val="00142BF2"/>
    <w:rsid w:val="001447C1"/>
    <w:rsid w:val="001455E7"/>
    <w:rsid w:val="00145BCA"/>
    <w:rsid w:val="00150789"/>
    <w:rsid w:val="0015216F"/>
    <w:rsid w:val="00153523"/>
    <w:rsid w:val="00157729"/>
    <w:rsid w:val="00162963"/>
    <w:rsid w:val="00164587"/>
    <w:rsid w:val="001665A3"/>
    <w:rsid w:val="001743EF"/>
    <w:rsid w:val="00174A31"/>
    <w:rsid w:val="00177232"/>
    <w:rsid w:val="00185F27"/>
    <w:rsid w:val="00187186"/>
    <w:rsid w:val="001978EB"/>
    <w:rsid w:val="001A2AF1"/>
    <w:rsid w:val="001A6793"/>
    <w:rsid w:val="001B04BF"/>
    <w:rsid w:val="001C013E"/>
    <w:rsid w:val="001D1743"/>
    <w:rsid w:val="001D17CF"/>
    <w:rsid w:val="001D6D6E"/>
    <w:rsid w:val="001E2543"/>
    <w:rsid w:val="001E5BF3"/>
    <w:rsid w:val="001E6C60"/>
    <w:rsid w:val="001F238A"/>
    <w:rsid w:val="00213B77"/>
    <w:rsid w:val="002171A2"/>
    <w:rsid w:val="002217D1"/>
    <w:rsid w:val="002224D3"/>
    <w:rsid w:val="00225919"/>
    <w:rsid w:val="002264B8"/>
    <w:rsid w:val="00235361"/>
    <w:rsid w:val="00236F62"/>
    <w:rsid w:val="00237D76"/>
    <w:rsid w:val="00251FCE"/>
    <w:rsid w:val="00252F13"/>
    <w:rsid w:val="00254313"/>
    <w:rsid w:val="00257A5F"/>
    <w:rsid w:val="0026513E"/>
    <w:rsid w:val="002729A5"/>
    <w:rsid w:val="0027520B"/>
    <w:rsid w:val="002752AD"/>
    <w:rsid w:val="002801D9"/>
    <w:rsid w:val="002862C1"/>
    <w:rsid w:val="00286449"/>
    <w:rsid w:val="00287EC3"/>
    <w:rsid w:val="00291518"/>
    <w:rsid w:val="00293F29"/>
    <w:rsid w:val="002941D1"/>
    <w:rsid w:val="00297BBF"/>
    <w:rsid w:val="00297E39"/>
    <w:rsid w:val="002A2A12"/>
    <w:rsid w:val="002A758A"/>
    <w:rsid w:val="002C05D0"/>
    <w:rsid w:val="002C101A"/>
    <w:rsid w:val="002C6429"/>
    <w:rsid w:val="002D049C"/>
    <w:rsid w:val="002D096D"/>
    <w:rsid w:val="002D11FE"/>
    <w:rsid w:val="002D2CB2"/>
    <w:rsid w:val="002D35EC"/>
    <w:rsid w:val="002D3FE3"/>
    <w:rsid w:val="002D5E8B"/>
    <w:rsid w:val="002E1546"/>
    <w:rsid w:val="002E4A97"/>
    <w:rsid w:val="002E6152"/>
    <w:rsid w:val="002E71C4"/>
    <w:rsid w:val="002F226A"/>
    <w:rsid w:val="002F3DA1"/>
    <w:rsid w:val="00301DC2"/>
    <w:rsid w:val="00311004"/>
    <w:rsid w:val="00321154"/>
    <w:rsid w:val="003227FD"/>
    <w:rsid w:val="00325A55"/>
    <w:rsid w:val="003343DB"/>
    <w:rsid w:val="00336655"/>
    <w:rsid w:val="00342B3C"/>
    <w:rsid w:val="0034378C"/>
    <w:rsid w:val="00346554"/>
    <w:rsid w:val="003466B3"/>
    <w:rsid w:val="003503EB"/>
    <w:rsid w:val="00350767"/>
    <w:rsid w:val="00350E4B"/>
    <w:rsid w:val="003529EE"/>
    <w:rsid w:val="003533A1"/>
    <w:rsid w:val="003651DE"/>
    <w:rsid w:val="00367CB8"/>
    <w:rsid w:val="003711C0"/>
    <w:rsid w:val="00372337"/>
    <w:rsid w:val="00373197"/>
    <w:rsid w:val="003818EE"/>
    <w:rsid w:val="0038390A"/>
    <w:rsid w:val="003A0BBF"/>
    <w:rsid w:val="003A3C08"/>
    <w:rsid w:val="003A6449"/>
    <w:rsid w:val="003A73D2"/>
    <w:rsid w:val="003B1067"/>
    <w:rsid w:val="003B3F46"/>
    <w:rsid w:val="003B4DDE"/>
    <w:rsid w:val="003B625C"/>
    <w:rsid w:val="003C0276"/>
    <w:rsid w:val="003C0C28"/>
    <w:rsid w:val="003C0F32"/>
    <w:rsid w:val="003C49F6"/>
    <w:rsid w:val="003C53E0"/>
    <w:rsid w:val="003C6CAC"/>
    <w:rsid w:val="003D3516"/>
    <w:rsid w:val="003D7D75"/>
    <w:rsid w:val="003E1394"/>
    <w:rsid w:val="003E582F"/>
    <w:rsid w:val="003F3C4C"/>
    <w:rsid w:val="00401B59"/>
    <w:rsid w:val="0040229B"/>
    <w:rsid w:val="00405621"/>
    <w:rsid w:val="00405CE5"/>
    <w:rsid w:val="00412B20"/>
    <w:rsid w:val="004138A9"/>
    <w:rsid w:val="0041582B"/>
    <w:rsid w:val="0041604F"/>
    <w:rsid w:val="00427DD9"/>
    <w:rsid w:val="004317DB"/>
    <w:rsid w:val="00432C5C"/>
    <w:rsid w:val="00437C19"/>
    <w:rsid w:val="0045028F"/>
    <w:rsid w:val="00461D1F"/>
    <w:rsid w:val="00470148"/>
    <w:rsid w:val="00470526"/>
    <w:rsid w:val="00470934"/>
    <w:rsid w:val="004848A4"/>
    <w:rsid w:val="004913DE"/>
    <w:rsid w:val="004A0755"/>
    <w:rsid w:val="004A5E69"/>
    <w:rsid w:val="004A6BE3"/>
    <w:rsid w:val="004B078F"/>
    <w:rsid w:val="004B1AEF"/>
    <w:rsid w:val="004B28EF"/>
    <w:rsid w:val="004C4371"/>
    <w:rsid w:val="004C7D38"/>
    <w:rsid w:val="004D0D86"/>
    <w:rsid w:val="004D10C6"/>
    <w:rsid w:val="004D2643"/>
    <w:rsid w:val="004D294E"/>
    <w:rsid w:val="004D3D03"/>
    <w:rsid w:val="004D4161"/>
    <w:rsid w:val="004D4586"/>
    <w:rsid w:val="004D6329"/>
    <w:rsid w:val="004E034B"/>
    <w:rsid w:val="004E17FC"/>
    <w:rsid w:val="004E274E"/>
    <w:rsid w:val="004E31D7"/>
    <w:rsid w:val="004E517F"/>
    <w:rsid w:val="004F778E"/>
    <w:rsid w:val="004F7A38"/>
    <w:rsid w:val="0050148F"/>
    <w:rsid w:val="00502F91"/>
    <w:rsid w:val="00520AAA"/>
    <w:rsid w:val="00520B2A"/>
    <w:rsid w:val="00523FCC"/>
    <w:rsid w:val="00531457"/>
    <w:rsid w:val="005338E4"/>
    <w:rsid w:val="00534CB5"/>
    <w:rsid w:val="0054286C"/>
    <w:rsid w:val="00543E5A"/>
    <w:rsid w:val="00545A32"/>
    <w:rsid w:val="00545A8F"/>
    <w:rsid w:val="0054645F"/>
    <w:rsid w:val="00547D03"/>
    <w:rsid w:val="00560065"/>
    <w:rsid w:val="005616ED"/>
    <w:rsid w:val="00561A06"/>
    <w:rsid w:val="005629D0"/>
    <w:rsid w:val="00564A4E"/>
    <w:rsid w:val="005815B6"/>
    <w:rsid w:val="00584E85"/>
    <w:rsid w:val="005871DA"/>
    <w:rsid w:val="00587695"/>
    <w:rsid w:val="0059054D"/>
    <w:rsid w:val="0059316B"/>
    <w:rsid w:val="005949A8"/>
    <w:rsid w:val="00594D8C"/>
    <w:rsid w:val="00596D34"/>
    <w:rsid w:val="005A077D"/>
    <w:rsid w:val="005A0DBA"/>
    <w:rsid w:val="005A26BC"/>
    <w:rsid w:val="005A4320"/>
    <w:rsid w:val="005A498D"/>
    <w:rsid w:val="005A58E7"/>
    <w:rsid w:val="005B1F62"/>
    <w:rsid w:val="005C19CA"/>
    <w:rsid w:val="005C1B1D"/>
    <w:rsid w:val="005C4522"/>
    <w:rsid w:val="005D49BF"/>
    <w:rsid w:val="005E415D"/>
    <w:rsid w:val="005E6B9D"/>
    <w:rsid w:val="005F30C3"/>
    <w:rsid w:val="005F7863"/>
    <w:rsid w:val="0060353B"/>
    <w:rsid w:val="00620876"/>
    <w:rsid w:val="00624FD0"/>
    <w:rsid w:val="00630C5E"/>
    <w:rsid w:val="006315B4"/>
    <w:rsid w:val="00635AC3"/>
    <w:rsid w:val="00636FFB"/>
    <w:rsid w:val="006473B4"/>
    <w:rsid w:val="00654CCF"/>
    <w:rsid w:val="006571DB"/>
    <w:rsid w:val="00661685"/>
    <w:rsid w:val="00665F82"/>
    <w:rsid w:val="0067186C"/>
    <w:rsid w:val="00671E11"/>
    <w:rsid w:val="006779DA"/>
    <w:rsid w:val="006878C7"/>
    <w:rsid w:val="00687EB3"/>
    <w:rsid w:val="00692980"/>
    <w:rsid w:val="00693246"/>
    <w:rsid w:val="0069506F"/>
    <w:rsid w:val="00696582"/>
    <w:rsid w:val="006A07CB"/>
    <w:rsid w:val="006A1DBB"/>
    <w:rsid w:val="006A298B"/>
    <w:rsid w:val="006B4E40"/>
    <w:rsid w:val="006B54E4"/>
    <w:rsid w:val="006C103A"/>
    <w:rsid w:val="006C4E6A"/>
    <w:rsid w:val="006C50E8"/>
    <w:rsid w:val="006D402F"/>
    <w:rsid w:val="006D464D"/>
    <w:rsid w:val="006D502B"/>
    <w:rsid w:val="006D61E1"/>
    <w:rsid w:val="006E1038"/>
    <w:rsid w:val="006E6F11"/>
    <w:rsid w:val="006F0B6B"/>
    <w:rsid w:val="006F144D"/>
    <w:rsid w:val="006F3B10"/>
    <w:rsid w:val="006F461B"/>
    <w:rsid w:val="006F622C"/>
    <w:rsid w:val="00700FF6"/>
    <w:rsid w:val="007024BB"/>
    <w:rsid w:val="00704D44"/>
    <w:rsid w:val="00715A68"/>
    <w:rsid w:val="00715DD5"/>
    <w:rsid w:val="00715ECF"/>
    <w:rsid w:val="00717A04"/>
    <w:rsid w:val="00717BFE"/>
    <w:rsid w:val="007208C5"/>
    <w:rsid w:val="00725BB4"/>
    <w:rsid w:val="0073180A"/>
    <w:rsid w:val="00732997"/>
    <w:rsid w:val="007334D3"/>
    <w:rsid w:val="007336C3"/>
    <w:rsid w:val="007343BA"/>
    <w:rsid w:val="00735033"/>
    <w:rsid w:val="00743D69"/>
    <w:rsid w:val="00752997"/>
    <w:rsid w:val="00756485"/>
    <w:rsid w:val="0075705D"/>
    <w:rsid w:val="007626E1"/>
    <w:rsid w:val="00767F65"/>
    <w:rsid w:val="007707C7"/>
    <w:rsid w:val="00770D6C"/>
    <w:rsid w:val="00782FC2"/>
    <w:rsid w:val="00783515"/>
    <w:rsid w:val="00785A02"/>
    <w:rsid w:val="00787C94"/>
    <w:rsid w:val="00791BCB"/>
    <w:rsid w:val="007921BD"/>
    <w:rsid w:val="00793A02"/>
    <w:rsid w:val="00795C6B"/>
    <w:rsid w:val="007A1566"/>
    <w:rsid w:val="007A3995"/>
    <w:rsid w:val="007A5AC5"/>
    <w:rsid w:val="007B622D"/>
    <w:rsid w:val="007B67A2"/>
    <w:rsid w:val="007C4288"/>
    <w:rsid w:val="007C484E"/>
    <w:rsid w:val="007D1E7F"/>
    <w:rsid w:val="007D21D0"/>
    <w:rsid w:val="007D4853"/>
    <w:rsid w:val="007D57C4"/>
    <w:rsid w:val="007D6B81"/>
    <w:rsid w:val="007E0429"/>
    <w:rsid w:val="007E2329"/>
    <w:rsid w:val="007E41DE"/>
    <w:rsid w:val="007E4CE3"/>
    <w:rsid w:val="007E4E87"/>
    <w:rsid w:val="007F2B1F"/>
    <w:rsid w:val="00802F7A"/>
    <w:rsid w:val="00806A1C"/>
    <w:rsid w:val="0080773A"/>
    <w:rsid w:val="00813322"/>
    <w:rsid w:val="008173F3"/>
    <w:rsid w:val="0082117C"/>
    <w:rsid w:val="008227E9"/>
    <w:rsid w:val="008247E2"/>
    <w:rsid w:val="008252C5"/>
    <w:rsid w:val="00831860"/>
    <w:rsid w:val="00832F2D"/>
    <w:rsid w:val="00836C6A"/>
    <w:rsid w:val="00841C9F"/>
    <w:rsid w:val="0084294E"/>
    <w:rsid w:val="00843A37"/>
    <w:rsid w:val="00843EFF"/>
    <w:rsid w:val="008442A5"/>
    <w:rsid w:val="008477A9"/>
    <w:rsid w:val="0085416A"/>
    <w:rsid w:val="00856B0F"/>
    <w:rsid w:val="0087065A"/>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B3B0A"/>
    <w:rsid w:val="008C28AE"/>
    <w:rsid w:val="008C2BA0"/>
    <w:rsid w:val="008C49EE"/>
    <w:rsid w:val="008C69F2"/>
    <w:rsid w:val="008D0D6D"/>
    <w:rsid w:val="008D1D44"/>
    <w:rsid w:val="008D3E6C"/>
    <w:rsid w:val="008E04EC"/>
    <w:rsid w:val="008E43F4"/>
    <w:rsid w:val="008F1F87"/>
    <w:rsid w:val="008F42F6"/>
    <w:rsid w:val="008F5282"/>
    <w:rsid w:val="009057D0"/>
    <w:rsid w:val="00912BAC"/>
    <w:rsid w:val="00915B25"/>
    <w:rsid w:val="00925058"/>
    <w:rsid w:val="00926CDB"/>
    <w:rsid w:val="00930113"/>
    <w:rsid w:val="009356EC"/>
    <w:rsid w:val="00937FB2"/>
    <w:rsid w:val="0094114F"/>
    <w:rsid w:val="0094194B"/>
    <w:rsid w:val="0095690D"/>
    <w:rsid w:val="00957C96"/>
    <w:rsid w:val="009609C5"/>
    <w:rsid w:val="00963FB7"/>
    <w:rsid w:val="00965B1A"/>
    <w:rsid w:val="00971B57"/>
    <w:rsid w:val="00975E03"/>
    <w:rsid w:val="00976933"/>
    <w:rsid w:val="00980BFA"/>
    <w:rsid w:val="00981893"/>
    <w:rsid w:val="00984974"/>
    <w:rsid w:val="00986438"/>
    <w:rsid w:val="00986BD2"/>
    <w:rsid w:val="00987DBF"/>
    <w:rsid w:val="00993D6B"/>
    <w:rsid w:val="009970F9"/>
    <w:rsid w:val="009A2E79"/>
    <w:rsid w:val="009A5590"/>
    <w:rsid w:val="009C3837"/>
    <w:rsid w:val="009C44BD"/>
    <w:rsid w:val="009C537F"/>
    <w:rsid w:val="009D0585"/>
    <w:rsid w:val="009D2BB3"/>
    <w:rsid w:val="009E0846"/>
    <w:rsid w:val="009E1EF4"/>
    <w:rsid w:val="009E1F32"/>
    <w:rsid w:val="009E4BD5"/>
    <w:rsid w:val="009F1BE0"/>
    <w:rsid w:val="009F7CED"/>
    <w:rsid w:val="00A003A9"/>
    <w:rsid w:val="00A04569"/>
    <w:rsid w:val="00A06FC3"/>
    <w:rsid w:val="00A0736A"/>
    <w:rsid w:val="00A07DE7"/>
    <w:rsid w:val="00A10C89"/>
    <w:rsid w:val="00A120D6"/>
    <w:rsid w:val="00A1301A"/>
    <w:rsid w:val="00A14C37"/>
    <w:rsid w:val="00A161B9"/>
    <w:rsid w:val="00A219D7"/>
    <w:rsid w:val="00A2785C"/>
    <w:rsid w:val="00A30953"/>
    <w:rsid w:val="00A33DCF"/>
    <w:rsid w:val="00A377FE"/>
    <w:rsid w:val="00A4128C"/>
    <w:rsid w:val="00A41AEF"/>
    <w:rsid w:val="00A447B3"/>
    <w:rsid w:val="00A463DF"/>
    <w:rsid w:val="00A500DD"/>
    <w:rsid w:val="00A52C3F"/>
    <w:rsid w:val="00A55DB6"/>
    <w:rsid w:val="00A61784"/>
    <w:rsid w:val="00A64120"/>
    <w:rsid w:val="00A64671"/>
    <w:rsid w:val="00A72973"/>
    <w:rsid w:val="00A74AFD"/>
    <w:rsid w:val="00A77553"/>
    <w:rsid w:val="00A80613"/>
    <w:rsid w:val="00A82687"/>
    <w:rsid w:val="00A83A98"/>
    <w:rsid w:val="00A85AEA"/>
    <w:rsid w:val="00A94019"/>
    <w:rsid w:val="00AA28E8"/>
    <w:rsid w:val="00AA2D71"/>
    <w:rsid w:val="00AA35C0"/>
    <w:rsid w:val="00AB0708"/>
    <w:rsid w:val="00AB0C45"/>
    <w:rsid w:val="00AB6652"/>
    <w:rsid w:val="00AB73D2"/>
    <w:rsid w:val="00AC1AF8"/>
    <w:rsid w:val="00AC447D"/>
    <w:rsid w:val="00AC597C"/>
    <w:rsid w:val="00AC7A63"/>
    <w:rsid w:val="00AC7E28"/>
    <w:rsid w:val="00AD0715"/>
    <w:rsid w:val="00AD5446"/>
    <w:rsid w:val="00AD623F"/>
    <w:rsid w:val="00AE03F3"/>
    <w:rsid w:val="00AF5E71"/>
    <w:rsid w:val="00B13AE3"/>
    <w:rsid w:val="00B1430A"/>
    <w:rsid w:val="00B1456F"/>
    <w:rsid w:val="00B25550"/>
    <w:rsid w:val="00B30DCD"/>
    <w:rsid w:val="00B377D3"/>
    <w:rsid w:val="00B3781A"/>
    <w:rsid w:val="00B4178F"/>
    <w:rsid w:val="00B4216E"/>
    <w:rsid w:val="00B42BBD"/>
    <w:rsid w:val="00B448DC"/>
    <w:rsid w:val="00B463AC"/>
    <w:rsid w:val="00B51095"/>
    <w:rsid w:val="00B568E6"/>
    <w:rsid w:val="00B6123C"/>
    <w:rsid w:val="00B612E9"/>
    <w:rsid w:val="00B61C41"/>
    <w:rsid w:val="00B61CA6"/>
    <w:rsid w:val="00B64D04"/>
    <w:rsid w:val="00B65F1B"/>
    <w:rsid w:val="00B66D03"/>
    <w:rsid w:val="00B7000F"/>
    <w:rsid w:val="00B729FC"/>
    <w:rsid w:val="00B73206"/>
    <w:rsid w:val="00B73EC6"/>
    <w:rsid w:val="00B766E4"/>
    <w:rsid w:val="00B8326D"/>
    <w:rsid w:val="00B84AF8"/>
    <w:rsid w:val="00B937B6"/>
    <w:rsid w:val="00BA064E"/>
    <w:rsid w:val="00BA450F"/>
    <w:rsid w:val="00BB545F"/>
    <w:rsid w:val="00BC7870"/>
    <w:rsid w:val="00BD4B65"/>
    <w:rsid w:val="00BD4C72"/>
    <w:rsid w:val="00BD73E2"/>
    <w:rsid w:val="00BE280C"/>
    <w:rsid w:val="00BE5B8F"/>
    <w:rsid w:val="00BE69CF"/>
    <w:rsid w:val="00BF054E"/>
    <w:rsid w:val="00BF0DB9"/>
    <w:rsid w:val="00C03120"/>
    <w:rsid w:val="00C11344"/>
    <w:rsid w:val="00C12B93"/>
    <w:rsid w:val="00C134C3"/>
    <w:rsid w:val="00C24A6C"/>
    <w:rsid w:val="00C26C14"/>
    <w:rsid w:val="00C27D76"/>
    <w:rsid w:val="00C307D7"/>
    <w:rsid w:val="00C31D59"/>
    <w:rsid w:val="00C36892"/>
    <w:rsid w:val="00C4009A"/>
    <w:rsid w:val="00C401C2"/>
    <w:rsid w:val="00C46330"/>
    <w:rsid w:val="00C47F73"/>
    <w:rsid w:val="00C52A4C"/>
    <w:rsid w:val="00C52E86"/>
    <w:rsid w:val="00C6077B"/>
    <w:rsid w:val="00C61441"/>
    <w:rsid w:val="00C63849"/>
    <w:rsid w:val="00C7294E"/>
    <w:rsid w:val="00C826AF"/>
    <w:rsid w:val="00C84330"/>
    <w:rsid w:val="00C875D0"/>
    <w:rsid w:val="00C91F90"/>
    <w:rsid w:val="00C94891"/>
    <w:rsid w:val="00CA1FFE"/>
    <w:rsid w:val="00CA57DF"/>
    <w:rsid w:val="00CB0063"/>
    <w:rsid w:val="00CB4D37"/>
    <w:rsid w:val="00CB66F7"/>
    <w:rsid w:val="00CC0C62"/>
    <w:rsid w:val="00CC259C"/>
    <w:rsid w:val="00CC42D1"/>
    <w:rsid w:val="00CC5B3E"/>
    <w:rsid w:val="00CD2E1F"/>
    <w:rsid w:val="00CD5DE0"/>
    <w:rsid w:val="00CE083D"/>
    <w:rsid w:val="00CE140C"/>
    <w:rsid w:val="00CE1A87"/>
    <w:rsid w:val="00CE5EF0"/>
    <w:rsid w:val="00CF25EF"/>
    <w:rsid w:val="00CF2876"/>
    <w:rsid w:val="00D04A96"/>
    <w:rsid w:val="00D05B67"/>
    <w:rsid w:val="00D05D52"/>
    <w:rsid w:val="00D07597"/>
    <w:rsid w:val="00D12BFD"/>
    <w:rsid w:val="00D137D4"/>
    <w:rsid w:val="00D24980"/>
    <w:rsid w:val="00D26D53"/>
    <w:rsid w:val="00D31F43"/>
    <w:rsid w:val="00D4081C"/>
    <w:rsid w:val="00D40E59"/>
    <w:rsid w:val="00D415E6"/>
    <w:rsid w:val="00D444C5"/>
    <w:rsid w:val="00D45A56"/>
    <w:rsid w:val="00D522FA"/>
    <w:rsid w:val="00D530DC"/>
    <w:rsid w:val="00D62023"/>
    <w:rsid w:val="00D6268A"/>
    <w:rsid w:val="00D63D0C"/>
    <w:rsid w:val="00D7070F"/>
    <w:rsid w:val="00D709DD"/>
    <w:rsid w:val="00D725B3"/>
    <w:rsid w:val="00D743B9"/>
    <w:rsid w:val="00D75941"/>
    <w:rsid w:val="00D8294A"/>
    <w:rsid w:val="00D83F98"/>
    <w:rsid w:val="00D84A75"/>
    <w:rsid w:val="00D85F90"/>
    <w:rsid w:val="00D90649"/>
    <w:rsid w:val="00D91E89"/>
    <w:rsid w:val="00D9213D"/>
    <w:rsid w:val="00D95604"/>
    <w:rsid w:val="00D965B1"/>
    <w:rsid w:val="00D97DF9"/>
    <w:rsid w:val="00DA6526"/>
    <w:rsid w:val="00DA6C54"/>
    <w:rsid w:val="00DC0532"/>
    <w:rsid w:val="00DC54A3"/>
    <w:rsid w:val="00DD181C"/>
    <w:rsid w:val="00DD2F2C"/>
    <w:rsid w:val="00DD48D9"/>
    <w:rsid w:val="00DE1540"/>
    <w:rsid w:val="00DE17E0"/>
    <w:rsid w:val="00DE1A53"/>
    <w:rsid w:val="00DE520C"/>
    <w:rsid w:val="00DE5C40"/>
    <w:rsid w:val="00DF1E66"/>
    <w:rsid w:val="00DF3ABA"/>
    <w:rsid w:val="00DF60FD"/>
    <w:rsid w:val="00DF6410"/>
    <w:rsid w:val="00E007F7"/>
    <w:rsid w:val="00E05F18"/>
    <w:rsid w:val="00E06A27"/>
    <w:rsid w:val="00E12202"/>
    <w:rsid w:val="00E16EBC"/>
    <w:rsid w:val="00E242C5"/>
    <w:rsid w:val="00E24673"/>
    <w:rsid w:val="00E24B39"/>
    <w:rsid w:val="00E24F26"/>
    <w:rsid w:val="00E261B4"/>
    <w:rsid w:val="00E302B0"/>
    <w:rsid w:val="00E31E85"/>
    <w:rsid w:val="00E3742E"/>
    <w:rsid w:val="00E407FF"/>
    <w:rsid w:val="00E40C34"/>
    <w:rsid w:val="00E41E2C"/>
    <w:rsid w:val="00E44207"/>
    <w:rsid w:val="00E4537C"/>
    <w:rsid w:val="00E47DDE"/>
    <w:rsid w:val="00E53C62"/>
    <w:rsid w:val="00E6625E"/>
    <w:rsid w:val="00E66C57"/>
    <w:rsid w:val="00E66D00"/>
    <w:rsid w:val="00E7224C"/>
    <w:rsid w:val="00E72557"/>
    <w:rsid w:val="00E729F2"/>
    <w:rsid w:val="00E75DBD"/>
    <w:rsid w:val="00E805D3"/>
    <w:rsid w:val="00E80826"/>
    <w:rsid w:val="00E84DA1"/>
    <w:rsid w:val="00E91332"/>
    <w:rsid w:val="00EA0C29"/>
    <w:rsid w:val="00EA3045"/>
    <w:rsid w:val="00EC1DE8"/>
    <w:rsid w:val="00EC35A4"/>
    <w:rsid w:val="00EC35AE"/>
    <w:rsid w:val="00ED4708"/>
    <w:rsid w:val="00EE0D69"/>
    <w:rsid w:val="00EE0F26"/>
    <w:rsid w:val="00EE2ABB"/>
    <w:rsid w:val="00EE39A4"/>
    <w:rsid w:val="00EF192B"/>
    <w:rsid w:val="00F04830"/>
    <w:rsid w:val="00F06B8A"/>
    <w:rsid w:val="00F06C38"/>
    <w:rsid w:val="00F07A7D"/>
    <w:rsid w:val="00F153C1"/>
    <w:rsid w:val="00F16839"/>
    <w:rsid w:val="00F211E7"/>
    <w:rsid w:val="00F21D37"/>
    <w:rsid w:val="00F221F0"/>
    <w:rsid w:val="00F26136"/>
    <w:rsid w:val="00F2713B"/>
    <w:rsid w:val="00F305D8"/>
    <w:rsid w:val="00F32551"/>
    <w:rsid w:val="00F37106"/>
    <w:rsid w:val="00F375F4"/>
    <w:rsid w:val="00F44A2E"/>
    <w:rsid w:val="00F47D57"/>
    <w:rsid w:val="00F52218"/>
    <w:rsid w:val="00F55DC4"/>
    <w:rsid w:val="00F576B3"/>
    <w:rsid w:val="00F66BD8"/>
    <w:rsid w:val="00F745E1"/>
    <w:rsid w:val="00F75A79"/>
    <w:rsid w:val="00F7620E"/>
    <w:rsid w:val="00F775AD"/>
    <w:rsid w:val="00F80E07"/>
    <w:rsid w:val="00F81C2B"/>
    <w:rsid w:val="00F83143"/>
    <w:rsid w:val="00F90326"/>
    <w:rsid w:val="00F90F86"/>
    <w:rsid w:val="00F9161A"/>
    <w:rsid w:val="00F92DF0"/>
    <w:rsid w:val="00F95840"/>
    <w:rsid w:val="00FA0454"/>
    <w:rsid w:val="00FA4A9E"/>
    <w:rsid w:val="00FB1248"/>
    <w:rsid w:val="00FB217D"/>
    <w:rsid w:val="00FB29CC"/>
    <w:rsid w:val="00FC0522"/>
    <w:rsid w:val="00FC2782"/>
    <w:rsid w:val="00FC2DE3"/>
    <w:rsid w:val="00FD3D04"/>
    <w:rsid w:val="00FD49A0"/>
    <w:rsid w:val="00FD4A3F"/>
    <w:rsid w:val="00FD4A4D"/>
    <w:rsid w:val="00FE27DE"/>
    <w:rsid w:val="00FF66C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A2E72"/>
  <w15:chartTrackingRefBased/>
  <w15:docId w15:val="{E7CCE286-442F-D44B-B4FA-2E1A2076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067"/>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rsid w:val="00885E7D"/>
    <w:rPr>
      <w:sz w:val="16"/>
      <w:szCs w:val="16"/>
    </w:rPr>
  </w:style>
  <w:style w:type="paragraph" w:styleId="Textocomentario">
    <w:name w:val="annotation text"/>
    <w:basedOn w:val="Normal"/>
    <w:link w:val="TextocomentarioCar"/>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E39A4"/>
    <w:rPr>
      <w:rFonts w:ascii="Arial" w:hAnsi="Arial"/>
      <w:lang w:val="es-ES" w:eastAsia="es-ES"/>
    </w:rPr>
  </w:style>
  <w:style w:type="character" w:customStyle="1" w:styleId="TextocomentarioCar">
    <w:name w:val="Texto comentario Car"/>
    <w:link w:val="Textocomentario"/>
    <w:semiHidden/>
    <w:rsid w:val="001D6D6E"/>
    <w:rPr>
      <w:rFonts w:ascii="Arial" w:hAnsi="Arial"/>
      <w:lang w:val="es-ES" w:eastAsia="es-ES"/>
    </w:rPr>
  </w:style>
  <w:style w:type="paragraph" w:styleId="Prrafodelista">
    <w:name w:val="List Paragraph"/>
    <w:basedOn w:val="Normal"/>
    <w:uiPriority w:val="72"/>
    <w:qFormat/>
    <w:rsid w:val="007334D3"/>
    <w:pPr>
      <w:ind w:left="720"/>
      <w:contextualSpacing/>
    </w:pPr>
  </w:style>
  <w:style w:type="table" w:styleId="Tablanormal4">
    <w:name w:val="Plain Table 4"/>
    <w:basedOn w:val="Tablanormal"/>
    <w:uiPriority w:val="21"/>
    <w:qFormat/>
    <w:rsid w:val="00915B2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71"/>
    <w:rsid w:val="00B3781A"/>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393772279">
      <w:bodyDiv w:val="1"/>
      <w:marLeft w:val="0"/>
      <w:marRight w:val="0"/>
      <w:marTop w:val="0"/>
      <w:marBottom w:val="0"/>
      <w:divBdr>
        <w:top w:val="none" w:sz="0" w:space="0" w:color="auto"/>
        <w:left w:val="none" w:sz="0" w:space="0" w:color="auto"/>
        <w:bottom w:val="none" w:sz="0" w:space="0" w:color="auto"/>
        <w:right w:val="none" w:sz="0" w:space="0" w:color="auto"/>
      </w:divBdr>
      <w:divsChild>
        <w:div w:id="1602033923">
          <w:marLeft w:val="0"/>
          <w:marRight w:val="0"/>
          <w:marTop w:val="0"/>
          <w:marBottom w:val="0"/>
          <w:divBdr>
            <w:top w:val="none" w:sz="0" w:space="0" w:color="auto"/>
            <w:left w:val="none" w:sz="0" w:space="0" w:color="auto"/>
            <w:bottom w:val="none" w:sz="0" w:space="0" w:color="auto"/>
            <w:right w:val="none" w:sz="0" w:space="0" w:color="auto"/>
          </w:divBdr>
          <w:divsChild>
            <w:div w:id="439690165">
              <w:marLeft w:val="0"/>
              <w:marRight w:val="0"/>
              <w:marTop w:val="0"/>
              <w:marBottom w:val="0"/>
              <w:divBdr>
                <w:top w:val="none" w:sz="0" w:space="0" w:color="auto"/>
                <w:left w:val="none" w:sz="0" w:space="0" w:color="auto"/>
                <w:bottom w:val="none" w:sz="0" w:space="0" w:color="auto"/>
                <w:right w:val="none" w:sz="0" w:space="0" w:color="auto"/>
              </w:divBdr>
              <w:divsChild>
                <w:div w:id="19039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749501792">
      <w:bodyDiv w:val="1"/>
      <w:marLeft w:val="0"/>
      <w:marRight w:val="0"/>
      <w:marTop w:val="0"/>
      <w:marBottom w:val="0"/>
      <w:divBdr>
        <w:top w:val="none" w:sz="0" w:space="0" w:color="auto"/>
        <w:left w:val="none" w:sz="0" w:space="0" w:color="auto"/>
        <w:bottom w:val="none" w:sz="0" w:space="0" w:color="auto"/>
        <w:right w:val="none" w:sz="0" w:space="0" w:color="auto"/>
      </w:divBdr>
    </w:div>
    <w:div w:id="805506750">
      <w:bodyDiv w:val="1"/>
      <w:marLeft w:val="0"/>
      <w:marRight w:val="0"/>
      <w:marTop w:val="0"/>
      <w:marBottom w:val="0"/>
      <w:divBdr>
        <w:top w:val="none" w:sz="0" w:space="0" w:color="auto"/>
        <w:left w:val="none" w:sz="0" w:space="0" w:color="auto"/>
        <w:bottom w:val="none" w:sz="0" w:space="0" w:color="auto"/>
        <w:right w:val="none" w:sz="0" w:space="0" w:color="auto"/>
      </w:divBdr>
      <w:divsChild>
        <w:div w:id="1759060215">
          <w:marLeft w:val="0"/>
          <w:marRight w:val="0"/>
          <w:marTop w:val="0"/>
          <w:marBottom w:val="0"/>
          <w:divBdr>
            <w:top w:val="none" w:sz="0" w:space="0" w:color="auto"/>
            <w:left w:val="none" w:sz="0" w:space="0" w:color="auto"/>
            <w:bottom w:val="none" w:sz="0" w:space="0" w:color="auto"/>
            <w:right w:val="none" w:sz="0" w:space="0" w:color="auto"/>
          </w:divBdr>
          <w:divsChild>
            <w:div w:id="1948193456">
              <w:marLeft w:val="0"/>
              <w:marRight w:val="0"/>
              <w:marTop w:val="0"/>
              <w:marBottom w:val="0"/>
              <w:divBdr>
                <w:top w:val="none" w:sz="0" w:space="0" w:color="auto"/>
                <w:left w:val="none" w:sz="0" w:space="0" w:color="auto"/>
                <w:bottom w:val="none" w:sz="0" w:space="0" w:color="auto"/>
                <w:right w:val="none" w:sz="0" w:space="0" w:color="auto"/>
              </w:divBdr>
              <w:divsChild>
                <w:div w:id="16456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9921">
      <w:bodyDiv w:val="1"/>
      <w:marLeft w:val="0"/>
      <w:marRight w:val="0"/>
      <w:marTop w:val="0"/>
      <w:marBottom w:val="0"/>
      <w:divBdr>
        <w:top w:val="none" w:sz="0" w:space="0" w:color="auto"/>
        <w:left w:val="none" w:sz="0" w:space="0" w:color="auto"/>
        <w:bottom w:val="none" w:sz="0" w:space="0" w:color="auto"/>
        <w:right w:val="none" w:sz="0" w:space="0" w:color="auto"/>
      </w:divBdr>
      <w:divsChild>
        <w:div w:id="2079280198">
          <w:marLeft w:val="0"/>
          <w:marRight w:val="0"/>
          <w:marTop w:val="0"/>
          <w:marBottom w:val="0"/>
          <w:divBdr>
            <w:top w:val="none" w:sz="0" w:space="0" w:color="auto"/>
            <w:left w:val="none" w:sz="0" w:space="0" w:color="auto"/>
            <w:bottom w:val="none" w:sz="0" w:space="0" w:color="auto"/>
            <w:right w:val="none" w:sz="0" w:space="0" w:color="auto"/>
          </w:divBdr>
          <w:divsChild>
            <w:div w:id="583075103">
              <w:marLeft w:val="0"/>
              <w:marRight w:val="0"/>
              <w:marTop w:val="0"/>
              <w:marBottom w:val="0"/>
              <w:divBdr>
                <w:top w:val="none" w:sz="0" w:space="0" w:color="auto"/>
                <w:left w:val="none" w:sz="0" w:space="0" w:color="auto"/>
                <w:bottom w:val="none" w:sz="0" w:space="0" w:color="auto"/>
                <w:right w:val="none" w:sz="0" w:space="0" w:color="auto"/>
              </w:divBdr>
              <w:divsChild>
                <w:div w:id="2775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04003">
      <w:bodyDiv w:val="1"/>
      <w:marLeft w:val="0"/>
      <w:marRight w:val="0"/>
      <w:marTop w:val="0"/>
      <w:marBottom w:val="0"/>
      <w:divBdr>
        <w:top w:val="none" w:sz="0" w:space="0" w:color="auto"/>
        <w:left w:val="none" w:sz="0" w:space="0" w:color="auto"/>
        <w:bottom w:val="none" w:sz="0" w:space="0" w:color="auto"/>
        <w:right w:val="none" w:sz="0" w:space="0" w:color="auto"/>
      </w:divBdr>
      <w:divsChild>
        <w:div w:id="851921463">
          <w:marLeft w:val="0"/>
          <w:marRight w:val="0"/>
          <w:marTop w:val="0"/>
          <w:marBottom w:val="0"/>
          <w:divBdr>
            <w:top w:val="none" w:sz="0" w:space="0" w:color="auto"/>
            <w:left w:val="none" w:sz="0" w:space="0" w:color="auto"/>
            <w:bottom w:val="none" w:sz="0" w:space="0" w:color="auto"/>
            <w:right w:val="none" w:sz="0" w:space="0" w:color="auto"/>
          </w:divBdr>
          <w:divsChild>
            <w:div w:id="2088569878">
              <w:marLeft w:val="0"/>
              <w:marRight w:val="0"/>
              <w:marTop w:val="0"/>
              <w:marBottom w:val="0"/>
              <w:divBdr>
                <w:top w:val="none" w:sz="0" w:space="0" w:color="auto"/>
                <w:left w:val="none" w:sz="0" w:space="0" w:color="auto"/>
                <w:bottom w:val="none" w:sz="0" w:space="0" w:color="auto"/>
                <w:right w:val="none" w:sz="0" w:space="0" w:color="auto"/>
              </w:divBdr>
              <w:divsChild>
                <w:div w:id="944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970137307">
      <w:bodyDiv w:val="1"/>
      <w:marLeft w:val="0"/>
      <w:marRight w:val="0"/>
      <w:marTop w:val="0"/>
      <w:marBottom w:val="0"/>
      <w:divBdr>
        <w:top w:val="none" w:sz="0" w:space="0" w:color="auto"/>
        <w:left w:val="none" w:sz="0" w:space="0" w:color="auto"/>
        <w:bottom w:val="none" w:sz="0" w:space="0" w:color="auto"/>
        <w:right w:val="none" w:sz="0" w:space="0" w:color="auto"/>
      </w:divBdr>
      <w:divsChild>
        <w:div w:id="578098492">
          <w:marLeft w:val="0"/>
          <w:marRight w:val="0"/>
          <w:marTop w:val="0"/>
          <w:marBottom w:val="0"/>
          <w:divBdr>
            <w:top w:val="none" w:sz="0" w:space="0" w:color="auto"/>
            <w:left w:val="none" w:sz="0" w:space="0" w:color="auto"/>
            <w:bottom w:val="none" w:sz="0" w:space="0" w:color="auto"/>
            <w:right w:val="none" w:sz="0" w:space="0" w:color="auto"/>
          </w:divBdr>
          <w:divsChild>
            <w:div w:id="46077467">
              <w:marLeft w:val="0"/>
              <w:marRight w:val="0"/>
              <w:marTop w:val="0"/>
              <w:marBottom w:val="0"/>
              <w:divBdr>
                <w:top w:val="none" w:sz="0" w:space="0" w:color="auto"/>
                <w:left w:val="none" w:sz="0" w:space="0" w:color="auto"/>
                <w:bottom w:val="none" w:sz="0" w:space="0" w:color="auto"/>
                <w:right w:val="none" w:sz="0" w:space="0" w:color="auto"/>
              </w:divBdr>
              <w:divsChild>
                <w:div w:id="11189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2676">
      <w:bodyDiv w:val="1"/>
      <w:marLeft w:val="0"/>
      <w:marRight w:val="0"/>
      <w:marTop w:val="0"/>
      <w:marBottom w:val="0"/>
      <w:divBdr>
        <w:top w:val="none" w:sz="0" w:space="0" w:color="auto"/>
        <w:left w:val="none" w:sz="0" w:space="0" w:color="auto"/>
        <w:bottom w:val="none" w:sz="0" w:space="0" w:color="auto"/>
        <w:right w:val="none" w:sz="0" w:space="0" w:color="auto"/>
      </w:divBdr>
      <w:divsChild>
        <w:div w:id="89283685">
          <w:marLeft w:val="0"/>
          <w:marRight w:val="0"/>
          <w:marTop w:val="0"/>
          <w:marBottom w:val="0"/>
          <w:divBdr>
            <w:top w:val="none" w:sz="0" w:space="0" w:color="auto"/>
            <w:left w:val="none" w:sz="0" w:space="0" w:color="auto"/>
            <w:bottom w:val="none" w:sz="0" w:space="0" w:color="auto"/>
            <w:right w:val="none" w:sz="0" w:space="0" w:color="auto"/>
          </w:divBdr>
          <w:divsChild>
            <w:div w:id="212735631">
              <w:marLeft w:val="0"/>
              <w:marRight w:val="0"/>
              <w:marTop w:val="0"/>
              <w:marBottom w:val="0"/>
              <w:divBdr>
                <w:top w:val="none" w:sz="0" w:space="0" w:color="auto"/>
                <w:left w:val="none" w:sz="0" w:space="0" w:color="auto"/>
                <w:bottom w:val="none" w:sz="0" w:space="0" w:color="auto"/>
                <w:right w:val="none" w:sz="0" w:space="0" w:color="auto"/>
              </w:divBdr>
              <w:divsChild>
                <w:div w:id="8953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182741477">
      <w:bodyDiv w:val="1"/>
      <w:marLeft w:val="0"/>
      <w:marRight w:val="0"/>
      <w:marTop w:val="0"/>
      <w:marBottom w:val="0"/>
      <w:divBdr>
        <w:top w:val="none" w:sz="0" w:space="0" w:color="auto"/>
        <w:left w:val="none" w:sz="0" w:space="0" w:color="auto"/>
        <w:bottom w:val="none" w:sz="0" w:space="0" w:color="auto"/>
        <w:right w:val="none" w:sz="0" w:space="0" w:color="auto"/>
      </w:divBdr>
      <w:divsChild>
        <w:div w:id="464392949">
          <w:marLeft w:val="0"/>
          <w:marRight w:val="0"/>
          <w:marTop w:val="0"/>
          <w:marBottom w:val="0"/>
          <w:divBdr>
            <w:top w:val="none" w:sz="0" w:space="0" w:color="auto"/>
            <w:left w:val="none" w:sz="0" w:space="0" w:color="auto"/>
            <w:bottom w:val="none" w:sz="0" w:space="0" w:color="auto"/>
            <w:right w:val="none" w:sz="0" w:space="0" w:color="auto"/>
          </w:divBdr>
          <w:divsChild>
            <w:div w:id="321743647">
              <w:marLeft w:val="0"/>
              <w:marRight w:val="0"/>
              <w:marTop w:val="0"/>
              <w:marBottom w:val="0"/>
              <w:divBdr>
                <w:top w:val="none" w:sz="0" w:space="0" w:color="auto"/>
                <w:left w:val="none" w:sz="0" w:space="0" w:color="auto"/>
                <w:bottom w:val="none" w:sz="0" w:space="0" w:color="auto"/>
                <w:right w:val="none" w:sz="0" w:space="0" w:color="auto"/>
              </w:divBdr>
              <w:divsChild>
                <w:div w:id="11273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671325453">
      <w:bodyDiv w:val="1"/>
      <w:marLeft w:val="0"/>
      <w:marRight w:val="0"/>
      <w:marTop w:val="0"/>
      <w:marBottom w:val="0"/>
      <w:divBdr>
        <w:top w:val="none" w:sz="0" w:space="0" w:color="auto"/>
        <w:left w:val="none" w:sz="0" w:space="0" w:color="auto"/>
        <w:bottom w:val="none" w:sz="0" w:space="0" w:color="auto"/>
        <w:right w:val="none" w:sz="0" w:space="0" w:color="auto"/>
      </w:divBdr>
    </w:div>
    <w:div w:id="1679959452">
      <w:bodyDiv w:val="1"/>
      <w:marLeft w:val="0"/>
      <w:marRight w:val="0"/>
      <w:marTop w:val="0"/>
      <w:marBottom w:val="0"/>
      <w:divBdr>
        <w:top w:val="none" w:sz="0" w:space="0" w:color="auto"/>
        <w:left w:val="none" w:sz="0" w:space="0" w:color="auto"/>
        <w:bottom w:val="none" w:sz="0" w:space="0" w:color="auto"/>
        <w:right w:val="none" w:sz="0" w:space="0" w:color="auto"/>
      </w:divBdr>
      <w:divsChild>
        <w:div w:id="594631515">
          <w:marLeft w:val="0"/>
          <w:marRight w:val="0"/>
          <w:marTop w:val="0"/>
          <w:marBottom w:val="0"/>
          <w:divBdr>
            <w:top w:val="none" w:sz="0" w:space="0" w:color="auto"/>
            <w:left w:val="none" w:sz="0" w:space="0" w:color="auto"/>
            <w:bottom w:val="none" w:sz="0" w:space="0" w:color="auto"/>
            <w:right w:val="none" w:sz="0" w:space="0" w:color="auto"/>
          </w:divBdr>
          <w:divsChild>
            <w:div w:id="2026979947">
              <w:marLeft w:val="0"/>
              <w:marRight w:val="0"/>
              <w:marTop w:val="0"/>
              <w:marBottom w:val="0"/>
              <w:divBdr>
                <w:top w:val="none" w:sz="0" w:space="0" w:color="auto"/>
                <w:left w:val="none" w:sz="0" w:space="0" w:color="auto"/>
                <w:bottom w:val="none" w:sz="0" w:space="0" w:color="auto"/>
                <w:right w:val="none" w:sz="0" w:space="0" w:color="auto"/>
              </w:divBdr>
              <w:divsChild>
                <w:div w:id="14110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A65FJVFR3NAS-1820456951-8183</_dlc_DocId>
    <_dlc_DocIdUrl xmlns="fe5c55e1-1529-428c-8c16-ada3460a0e7a">
      <Url>http://tame/_layouts/15/DocIdRedir.aspx?ID=A65FJVFR3NAS-1820456951-8183</Url>
      <Description>A65FJVFR3NAS-1820456951-8183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38538-DB72-C545-83C0-97A81E5E381C}">
  <ds:schemaRefs>
    <ds:schemaRef ds:uri="http://schemas.openxmlformats.org/officeDocument/2006/bibliography"/>
  </ds:schemaRefs>
</ds:datastoreItem>
</file>

<file path=customXml/itemProps2.xml><?xml version="1.0" encoding="utf-8"?>
<ds:datastoreItem xmlns:ds="http://schemas.openxmlformats.org/officeDocument/2006/customXml" ds:itemID="{746E0E8E-27F7-4212-9B89-B7BD4532378B}">
  <ds:schemaRefs>
    <ds:schemaRef ds:uri="http://schemas.microsoft.com/sharepoint/v3/contenttype/forms"/>
  </ds:schemaRefs>
</ds:datastoreItem>
</file>

<file path=customXml/itemProps3.xml><?xml version="1.0" encoding="utf-8"?>
<ds:datastoreItem xmlns:ds="http://schemas.openxmlformats.org/officeDocument/2006/customXml" ds:itemID="{F8ABBBC9-2246-4FD4-BADF-40281DE44421}">
  <ds:schemaRefs>
    <ds:schemaRef ds:uri="http://schemas.microsoft.com/office/2006/metadata/properties"/>
    <ds:schemaRef ds:uri="http://schemas.microsoft.com/office/infopath/2007/PartnerControls"/>
    <ds:schemaRef ds:uri="http://schemas.microsoft.com/sharepoint/v3"/>
    <ds:schemaRef ds:uri="fe5c55e1-1529-428c-8c16-ada3460a0e7a"/>
  </ds:schemaRefs>
</ds:datastoreItem>
</file>

<file path=customXml/itemProps4.xml><?xml version="1.0" encoding="utf-8"?>
<ds:datastoreItem xmlns:ds="http://schemas.openxmlformats.org/officeDocument/2006/customXml" ds:itemID="{364A4CB1-CE8E-489D-A0F2-15342E7819CC}"/>
</file>

<file path=customXml/itemProps5.xml><?xml version="1.0" encoding="utf-8"?>
<ds:datastoreItem xmlns:ds="http://schemas.openxmlformats.org/officeDocument/2006/customXml" ds:itemID="{F663197A-7E9E-46F2-A5F5-9F8D9F155815}"/>
</file>

<file path=docProps/app.xml><?xml version="1.0" encoding="utf-8"?>
<Properties xmlns="http://schemas.openxmlformats.org/officeDocument/2006/extended-properties" xmlns:vt="http://schemas.openxmlformats.org/officeDocument/2006/docPropsVTypes">
  <Template>Normal</Template>
  <TotalTime>9</TotalTime>
  <Pages>1</Pages>
  <Words>2138</Words>
  <Characters>11762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Martha Lucía Velásquez Prada</cp:lastModifiedBy>
  <cp:revision>4</cp:revision>
  <cp:lastPrinted>2019-07-08T22:30:00Z</cp:lastPrinted>
  <dcterms:created xsi:type="dcterms:W3CDTF">2021-03-25T14:24:00Z</dcterms:created>
  <dcterms:modified xsi:type="dcterms:W3CDTF">2021-03-25T14:58:00Z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09b05a75-a24e-4325-8876-63dd618a7de9</vt:lpwstr>
  </property>
</Properties>
</file>